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C7A8" w14:textId="46ADECF5" w:rsidR="00CA7592" w:rsidRPr="0018718E" w:rsidRDefault="00CA7592" w:rsidP="00CA7592">
      <w:pPr>
        <w:spacing w:line="400" w:lineRule="exact"/>
        <w:jc w:val="center"/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</w:pPr>
      <w:bookmarkStart w:id="0" w:name="_Hlk38371447"/>
      <w:r w:rsidRPr="0018718E"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 xml:space="preserve">TIPC Working Guidelines for </w:t>
      </w:r>
      <w:r w:rsidR="00E85FB6"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>Subsidizing</w:t>
      </w:r>
      <w:r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 xml:space="preserve"> Dockage </w:t>
      </w:r>
      <w:r w:rsidR="00E85FB6"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 xml:space="preserve">Fees Charged </w:t>
      </w:r>
      <w:r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 xml:space="preserve">to International Cruise </w:t>
      </w:r>
      <w:bookmarkEnd w:id="0"/>
      <w:r w:rsidR="00C779D5"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>Lines</w:t>
      </w:r>
    </w:p>
    <w:p w14:paraId="50CF6BA5" w14:textId="77777777" w:rsidR="00CA7592" w:rsidRPr="0018718E" w:rsidRDefault="00CA7592" w:rsidP="00CA7592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32"/>
        </w:rPr>
      </w:pPr>
    </w:p>
    <w:p w14:paraId="40617D45" w14:textId="1FA46438" w:rsidR="00CA7592" w:rsidRDefault="00CA7592" w:rsidP="00CA7592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16"/>
        </w:rPr>
      </w:pPr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 xml:space="preserve">Announcement </w:t>
      </w:r>
      <w:r w:rsidR="00E85FB6" w:rsidRPr="00E85FB6">
        <w:rPr>
          <w:rFonts w:ascii="Avenir Light" w:eastAsia="微軟正黑體" w:hAnsi="Avenir Light" w:cs="Arial"/>
          <w:color w:val="000000" w:themeColor="text1"/>
          <w:sz w:val="16"/>
          <w:szCs w:val="32"/>
        </w:rPr>
        <w:t xml:space="preserve">1090112064 </w:t>
      </w:r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(gang-zong-</w:t>
      </w:r>
      <w:r w:rsidR="00B1032F">
        <w:rPr>
          <w:rFonts w:ascii="Avenir Light" w:eastAsia="微軟正黑體" w:hAnsi="Avenir Light" w:cs="Arial"/>
          <w:color w:val="000000" w:themeColor="text1"/>
          <w:sz w:val="16"/>
          <w:szCs w:val="32"/>
        </w:rPr>
        <w:t>yei</w:t>
      </w:r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 xml:space="preserve">), </w:t>
      </w:r>
      <w:r w:rsidR="00E85FB6" w:rsidRPr="008D2026">
        <w:rPr>
          <w:rFonts w:ascii="Avenir Light" w:eastAsia="微軟正黑體" w:hAnsi="Avenir Light" w:cs="Arial"/>
          <w:color w:val="000000" w:themeColor="text1"/>
          <w:sz w:val="16"/>
          <w:szCs w:val="16"/>
        </w:rPr>
        <w:t>issued and effective on 16 March 2020</w:t>
      </w:r>
    </w:p>
    <w:p w14:paraId="4F148EFE" w14:textId="62BE8D26" w:rsidR="00E85FB6" w:rsidRDefault="00E85FB6" w:rsidP="00CA7592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16"/>
        </w:rPr>
      </w:pPr>
    </w:p>
    <w:p w14:paraId="4339D3B4" w14:textId="77777777" w:rsidR="00E85FB6" w:rsidRPr="00B1032F" w:rsidRDefault="00E85FB6" w:rsidP="00CA7592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32"/>
        </w:rPr>
      </w:pPr>
    </w:p>
    <w:p w14:paraId="62D74F52" w14:textId="695658B8" w:rsidR="00E85FB6" w:rsidRPr="00E85FB6" w:rsidRDefault="00E85FB6" w:rsidP="00E85FB6">
      <w:pPr>
        <w:pStyle w:val="a3"/>
        <w:numPr>
          <w:ilvl w:val="0"/>
          <w:numId w:val="8"/>
        </w:numPr>
        <w:spacing w:afterLines="50" w:after="180" w:line="340" w:lineRule="exact"/>
        <w:ind w:leftChars="0" w:right="249"/>
        <w:jc w:val="both"/>
        <w:rPr>
          <w:rFonts w:ascii="Avenir Light" w:eastAsia="微軟正黑體" w:hAnsi="Avenir Light" w:cs="Times New Roman"/>
          <w:color w:val="000000" w:themeColor="text1"/>
          <w:szCs w:val="24"/>
        </w:rPr>
      </w:pPr>
      <w:r w:rsidRPr="00C13D78">
        <w:rPr>
          <w:rFonts w:ascii="Avenir Light" w:eastAsia="微軟正黑體" w:hAnsi="Avenir Light" w:cs="Arial"/>
          <w:color w:val="000000" w:themeColor="text1"/>
          <w:szCs w:val="24"/>
        </w:rPr>
        <w:t xml:space="preserve">The following working guidelines are established herein by the Taiwan International Ports Corporation (TIPC) in accordance with the </w:t>
      </w:r>
      <w:r w:rsidRPr="008D2026">
        <w:rPr>
          <w:rFonts w:ascii="Avenir Light" w:eastAsia="微軟正黑體" w:hAnsi="Avenir Light" w:cs="Arial"/>
          <w:i/>
          <w:iCs/>
          <w:color w:val="000000" w:themeColor="text1"/>
          <w:szCs w:val="24"/>
        </w:rPr>
        <w:t>MOTC Relief Measures for Companies Experiencing Business Hardships during the COVID-19 Pandemic</w:t>
      </w:r>
      <w:r w:rsidRPr="00C13D78">
        <w:rPr>
          <w:rFonts w:ascii="Avenir Light" w:eastAsia="微軟正黑體" w:hAnsi="Avenir Light" w:cs="Arial"/>
          <w:color w:val="000000" w:themeColor="text1"/>
          <w:szCs w:val="24"/>
        </w:rPr>
        <w:t xml:space="preserve"> to </w:t>
      </w:r>
      <w:r>
        <w:rPr>
          <w:rFonts w:ascii="Avenir Light" w:eastAsia="微軟正黑體" w:hAnsi="Avenir Light" w:cs="Arial"/>
          <w:color w:val="000000" w:themeColor="text1"/>
          <w:szCs w:val="24"/>
        </w:rPr>
        <w:t xml:space="preserve">subsidize the dockage fees normally charged to international cruise </w:t>
      </w:r>
      <w:r w:rsidR="00C779D5">
        <w:rPr>
          <w:rFonts w:ascii="Avenir Light" w:eastAsia="微軟正黑體" w:hAnsi="Avenir Light" w:cs="Arial"/>
          <w:color w:val="000000" w:themeColor="text1"/>
          <w:szCs w:val="24"/>
        </w:rPr>
        <w:t xml:space="preserve">lines </w:t>
      </w:r>
      <w:r>
        <w:rPr>
          <w:rFonts w:ascii="Avenir Light" w:eastAsia="微軟正黑體" w:hAnsi="Avenir Light" w:cs="Arial"/>
          <w:color w:val="000000" w:themeColor="text1"/>
          <w:szCs w:val="24"/>
        </w:rPr>
        <w:t>by TIPC-administered commercial ports in Taiwan</w:t>
      </w:r>
      <w:r w:rsidRPr="005B3605">
        <w:rPr>
          <w:rFonts w:ascii="Avenir Light" w:eastAsia="微軟正黑體" w:hAnsi="Avenir Light" w:cs="Arial"/>
          <w:color w:val="000000" w:themeColor="text1"/>
          <w:szCs w:val="24"/>
        </w:rPr>
        <w:t>.</w:t>
      </w:r>
    </w:p>
    <w:p w14:paraId="3CB080CB" w14:textId="0D267E86" w:rsidR="00E85FB6" w:rsidRPr="005B3605" w:rsidRDefault="00E85FB6" w:rsidP="00E85FB6">
      <w:pPr>
        <w:pStyle w:val="a3"/>
        <w:numPr>
          <w:ilvl w:val="0"/>
          <w:numId w:val="8"/>
        </w:numPr>
        <w:spacing w:afterLines="50" w:after="180" w:line="340" w:lineRule="exact"/>
        <w:ind w:leftChars="0" w:right="249"/>
        <w:jc w:val="both"/>
        <w:rPr>
          <w:rFonts w:ascii="Avenir Light" w:eastAsia="微軟正黑體" w:hAnsi="Avenir Light" w:cs="Times New Roman"/>
          <w:color w:val="000000" w:themeColor="text1"/>
          <w:szCs w:val="24"/>
        </w:rPr>
      </w:pPr>
      <w:r w:rsidRPr="005B3605">
        <w:rPr>
          <w:rFonts w:ascii="Avenir Light" w:eastAsia="微軟正黑體" w:hAnsi="Avenir Light" w:cs="Times New Roman"/>
          <w:color w:val="000000" w:themeColor="text1"/>
          <w:szCs w:val="24"/>
        </w:rPr>
        <w:t xml:space="preserve">The target of </w:t>
      </w:r>
      <w:r>
        <w:rPr>
          <w:rFonts w:ascii="Avenir Light" w:eastAsia="微軟正黑體" w:hAnsi="Avenir Light" w:cs="Times New Roman"/>
          <w:color w:val="000000" w:themeColor="text1"/>
          <w:szCs w:val="24"/>
        </w:rPr>
        <w:t>this</w:t>
      </w:r>
      <w:r w:rsidRPr="005B3605">
        <w:rPr>
          <w:rFonts w:ascii="Avenir Light" w:eastAsia="微軟正黑體" w:hAnsi="Avenir Light" w:cs="Times New Roman"/>
          <w:color w:val="000000" w:themeColor="text1"/>
          <w:szCs w:val="24"/>
        </w:rPr>
        <w:t xml:space="preserve"> </w:t>
      </w:r>
      <w:r>
        <w:rPr>
          <w:rFonts w:ascii="Avenir Light" w:eastAsia="微軟正黑體" w:hAnsi="Avenir Light" w:cs="Times New Roman"/>
          <w:color w:val="000000" w:themeColor="text1"/>
          <w:szCs w:val="24"/>
        </w:rPr>
        <w:t>subsidy program</w:t>
      </w:r>
      <w:r w:rsidRPr="005B3605">
        <w:rPr>
          <w:rFonts w:ascii="Avenir Light" w:eastAsia="微軟正黑體" w:hAnsi="Avenir Light" w:cs="Times New Roman"/>
          <w:color w:val="000000" w:themeColor="text1"/>
          <w:szCs w:val="24"/>
        </w:rPr>
        <w:t xml:space="preserve"> </w:t>
      </w:r>
      <w:r w:rsidR="00791741">
        <w:rPr>
          <w:rFonts w:ascii="Avenir Light" w:eastAsia="微軟正黑體" w:hAnsi="Avenir Light" w:cs="Times New Roman"/>
          <w:color w:val="000000" w:themeColor="text1"/>
          <w:szCs w:val="24"/>
        </w:rPr>
        <w:t>is</w:t>
      </w:r>
      <w:r w:rsidRPr="005B3605">
        <w:rPr>
          <w:rFonts w:ascii="Avenir Light" w:eastAsia="微軟正黑體" w:hAnsi="Avenir Light" w:cs="Times New Roman"/>
          <w:color w:val="000000" w:themeColor="text1"/>
          <w:szCs w:val="24"/>
        </w:rPr>
        <w:t xml:space="preserve"> </w:t>
      </w:r>
      <w:r w:rsidR="00791741">
        <w:rPr>
          <w:rFonts w:ascii="Avenir Light" w:eastAsia="微軟正黑體" w:hAnsi="Avenir Light" w:cs="Times New Roman" w:hint="eastAsia"/>
          <w:color w:val="000000" w:themeColor="text1"/>
          <w:szCs w:val="24"/>
        </w:rPr>
        <w:t>international</w:t>
      </w:r>
      <w:r w:rsidR="00791741">
        <w:rPr>
          <w:rFonts w:ascii="Avenir Light" w:eastAsia="微軟正黑體" w:hAnsi="Avenir Light" w:cs="Times New Roman"/>
          <w:color w:val="000000" w:themeColor="text1"/>
          <w:szCs w:val="24"/>
        </w:rPr>
        <w:t xml:space="preserve"> </w:t>
      </w:r>
      <w:r>
        <w:rPr>
          <w:rFonts w:ascii="Avenir Light" w:eastAsia="微軟正黑體" w:hAnsi="Avenir Light" w:cs="Times New Roman"/>
          <w:color w:val="000000" w:themeColor="text1"/>
          <w:szCs w:val="24"/>
        </w:rPr>
        <w:t>cruise</w:t>
      </w:r>
      <w:r w:rsid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 </w:t>
      </w:r>
      <w:r w:rsidR="00D169DD">
        <w:rPr>
          <w:rFonts w:ascii="Avenir Light" w:eastAsia="微軟正黑體" w:hAnsi="Avenir Light" w:cs="Times New Roman"/>
          <w:color w:val="000000" w:themeColor="text1"/>
          <w:szCs w:val="24"/>
        </w:rPr>
        <w:t>lines</w:t>
      </w:r>
      <w:r>
        <w:rPr>
          <w:rFonts w:ascii="Avenir Light" w:eastAsia="微軟正黑體" w:hAnsi="Avenir Light" w:cs="Times New Roman"/>
          <w:color w:val="000000" w:themeColor="text1"/>
          <w:szCs w:val="24"/>
        </w:rPr>
        <w:t xml:space="preserve"> that moor at an international or domestic commercial port administered by the TIPC in the course of normal business</w:t>
      </w:r>
      <w:r w:rsidR="00791741">
        <w:rPr>
          <w:rFonts w:ascii="Avenir Light" w:eastAsia="微軟正黑體" w:hAnsi="Avenir Light" w:cs="Times New Roman"/>
          <w:color w:val="000000" w:themeColor="text1"/>
          <w:szCs w:val="24"/>
        </w:rPr>
        <w:t xml:space="preserve"> operations</w:t>
      </w:r>
      <w:r>
        <w:rPr>
          <w:rFonts w:ascii="Avenir Light" w:eastAsia="微軟正黑體" w:hAnsi="Avenir Light" w:cs="Times New Roman"/>
          <w:color w:val="000000" w:themeColor="text1"/>
          <w:szCs w:val="24"/>
        </w:rPr>
        <w:t>.</w:t>
      </w:r>
    </w:p>
    <w:p w14:paraId="134A8519" w14:textId="77777777" w:rsidR="00744F19" w:rsidRPr="00744F19" w:rsidRDefault="00791741" w:rsidP="008652BE">
      <w:pPr>
        <w:pStyle w:val="a3"/>
        <w:numPr>
          <w:ilvl w:val="0"/>
          <w:numId w:val="8"/>
        </w:numPr>
        <w:spacing w:afterLines="50" w:after="180" w:line="340" w:lineRule="exact"/>
        <w:ind w:leftChars="0" w:right="249"/>
        <w:jc w:val="both"/>
        <w:rPr>
          <w:rFonts w:ascii="Avenir Light" w:eastAsia="微軟正黑體" w:hAnsi="Avenir Light" w:cs="Times New Roman"/>
          <w:color w:val="000000" w:themeColor="text1"/>
          <w:szCs w:val="24"/>
        </w:rPr>
      </w:pPr>
      <w:r w:rsidRPr="00744F19">
        <w:rPr>
          <w:rFonts w:ascii="Avenir Light" w:eastAsia="微軟正黑體" w:hAnsi="Avenir Light" w:cs="Arial"/>
          <w:color w:val="000000" w:themeColor="text1"/>
          <w:szCs w:val="24"/>
        </w:rPr>
        <w:t>These guidelines shall remain in effect from the time that the Central Epidemic Command Center announces the reopening of Taiwan to international cruise travel until June 30</w:t>
      </w:r>
      <w:r w:rsidRPr="00744F19">
        <w:rPr>
          <w:rFonts w:ascii="Avenir Light" w:eastAsia="微軟正黑體" w:hAnsi="Avenir Light" w:cs="Arial"/>
          <w:color w:val="000000" w:themeColor="text1"/>
          <w:szCs w:val="24"/>
          <w:vertAlign w:val="superscript"/>
        </w:rPr>
        <w:t>th</w:t>
      </w:r>
      <w:r w:rsidRPr="00744F19">
        <w:rPr>
          <w:rFonts w:ascii="Avenir Light" w:eastAsia="微軟正黑體" w:hAnsi="Avenir Light" w:cs="Arial"/>
          <w:color w:val="000000" w:themeColor="text1"/>
          <w:szCs w:val="24"/>
        </w:rPr>
        <w:t>, 2021 (or until allocated funds have been depleted).</w:t>
      </w:r>
    </w:p>
    <w:p w14:paraId="6D09E5F5" w14:textId="4105B701" w:rsidR="00791741" w:rsidRPr="00744F19" w:rsidRDefault="00791741" w:rsidP="008652BE">
      <w:pPr>
        <w:pStyle w:val="a3"/>
        <w:numPr>
          <w:ilvl w:val="0"/>
          <w:numId w:val="8"/>
        </w:numPr>
        <w:spacing w:afterLines="50" w:after="180" w:line="340" w:lineRule="exact"/>
        <w:ind w:leftChars="0" w:right="249"/>
        <w:jc w:val="both"/>
        <w:rPr>
          <w:rFonts w:ascii="Avenir Light" w:eastAsia="微軟正黑體" w:hAnsi="Avenir Light" w:cs="Times New Roman"/>
          <w:color w:val="000000" w:themeColor="text1"/>
          <w:szCs w:val="24"/>
        </w:rPr>
      </w:pPr>
      <w:r w:rsidRP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These guidelines are funded through a special budget authorization under the </w:t>
      </w:r>
      <w:r w:rsidRPr="00744F19">
        <w:rPr>
          <w:rFonts w:ascii="Avenir Light" w:eastAsia="微軟正黑體" w:hAnsi="Avenir Light" w:cs="Times New Roman"/>
          <w:i/>
          <w:iCs/>
          <w:color w:val="000000" w:themeColor="text1"/>
          <w:szCs w:val="24"/>
        </w:rPr>
        <w:t>MOTC Relief Measures for Companies Experiencing Business Hardships during the COVID-19 Pandemic</w:t>
      </w:r>
      <w:r w:rsidRP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. International cruise </w:t>
      </w:r>
      <w:r w:rsidR="00D169DD" w:rsidRPr="00744F19">
        <w:rPr>
          <w:rFonts w:ascii="Avenir Light" w:eastAsia="微軟正黑體" w:hAnsi="Avenir Light" w:cs="Times New Roman"/>
          <w:color w:val="000000" w:themeColor="text1"/>
          <w:szCs w:val="24"/>
        </w:rPr>
        <w:t>lines</w:t>
      </w:r>
      <w:r w:rsidRP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 that meet the qualifications for subsidy consideration</w:t>
      </w:r>
      <w:r w:rsidR="00346C15" w:rsidRP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 </w:t>
      </w:r>
      <w:r w:rsidR="00F72923" w:rsidRP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are eligible </w:t>
      </w:r>
      <w:r w:rsidR="002570E5" w:rsidRP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for a subsidy amount </w:t>
      </w:r>
      <w:r w:rsidR="00F72923" w:rsidRPr="00744F19">
        <w:rPr>
          <w:rFonts w:ascii="Avenir Light" w:eastAsia="微軟正黑體" w:hAnsi="Avenir Light" w:cs="Times New Roman"/>
          <w:color w:val="000000" w:themeColor="text1"/>
          <w:szCs w:val="24"/>
        </w:rPr>
        <w:t xml:space="preserve">equal to one-half of normal dockage fees during the effective period (calculated by date of port entry). </w:t>
      </w:r>
    </w:p>
    <w:p w14:paraId="06DAF77C" w14:textId="34AA8891" w:rsidR="00E85FB6" w:rsidRDefault="00F72923" w:rsidP="00E85FB6">
      <w:pPr>
        <w:pStyle w:val="a3"/>
        <w:numPr>
          <w:ilvl w:val="0"/>
          <w:numId w:val="8"/>
        </w:numPr>
        <w:spacing w:afterLines="50" w:after="180" w:line="340" w:lineRule="exact"/>
        <w:ind w:leftChars="0" w:right="249"/>
        <w:jc w:val="both"/>
        <w:rPr>
          <w:rFonts w:ascii="Avenir Light" w:eastAsia="微軟正黑體" w:hAnsi="Avenir Light" w:cs="Times New Roman"/>
          <w:color w:val="000000" w:themeColor="text1"/>
          <w:szCs w:val="24"/>
        </w:rPr>
      </w:pPr>
      <w:r>
        <w:rPr>
          <w:rFonts w:ascii="Avenir Light" w:eastAsia="微軟正黑體" w:hAnsi="Avenir Light" w:cs="Times New Roman"/>
          <w:color w:val="000000" w:themeColor="text1"/>
          <w:szCs w:val="24"/>
        </w:rPr>
        <w:t xml:space="preserve">Subsidy amounts granted under these guidelines shall be noted </w:t>
      </w:r>
      <w:r w:rsidR="0026049E">
        <w:rPr>
          <w:rFonts w:ascii="Avenir Light" w:eastAsia="微軟正黑體" w:hAnsi="Avenir Light" w:cs="Times New Roman"/>
          <w:color w:val="000000" w:themeColor="text1"/>
          <w:szCs w:val="24"/>
        </w:rPr>
        <w:t>in the payment / billing notice issued by TIPC to the client as a line item along with the actual amount due (less the subsidy amount).</w:t>
      </w:r>
    </w:p>
    <w:p w14:paraId="40A73E2D" w14:textId="24C8624F" w:rsidR="003F72D3" w:rsidRDefault="0026049E" w:rsidP="0026049E">
      <w:pPr>
        <w:pStyle w:val="a3"/>
        <w:numPr>
          <w:ilvl w:val="0"/>
          <w:numId w:val="8"/>
        </w:numPr>
        <w:spacing w:afterLines="50" w:after="180" w:line="340" w:lineRule="exact"/>
        <w:ind w:leftChars="0" w:right="249"/>
        <w:jc w:val="both"/>
        <w:rPr>
          <w:rFonts w:ascii="Avenir Light" w:eastAsia="微軟正黑體" w:hAnsi="Avenir Light" w:cs="Times New Roman"/>
          <w:color w:val="000000" w:themeColor="text1"/>
          <w:szCs w:val="24"/>
        </w:rPr>
      </w:pPr>
      <w:r w:rsidRPr="0026049E">
        <w:rPr>
          <w:rFonts w:ascii="Avenir Light" w:eastAsia="微軟正黑體" w:hAnsi="Avenir Light" w:cs="Times New Roman"/>
          <w:color w:val="000000" w:themeColor="text1"/>
          <w:szCs w:val="24"/>
        </w:rPr>
        <w:t>TIPC reserves the right to further explain and define the value of compensation amounts granted as well as to amend these working guidelines to reflect changes in regulations, policies, and/or relevant circumstances.</w:t>
      </w:r>
    </w:p>
    <w:p w14:paraId="36702F31" w14:textId="22AEA81D" w:rsidR="00E43501" w:rsidRPr="0026049E" w:rsidRDefault="00E43501" w:rsidP="00E43501">
      <w:pPr>
        <w:pStyle w:val="a3"/>
        <w:numPr>
          <w:ilvl w:val="0"/>
          <w:numId w:val="8"/>
        </w:numPr>
        <w:spacing w:afterLines="50" w:after="180" w:line="340" w:lineRule="exact"/>
        <w:ind w:leftChars="0" w:right="249"/>
        <w:jc w:val="both"/>
        <w:rPr>
          <w:rFonts w:ascii="Avenir Light" w:eastAsia="微軟正黑體" w:hAnsi="Avenir Light" w:cs="Times New Roman"/>
          <w:color w:val="000000" w:themeColor="text1"/>
          <w:szCs w:val="24"/>
        </w:rPr>
      </w:pPr>
      <w:r w:rsidRPr="00E43501">
        <w:rPr>
          <w:rFonts w:ascii="Avenir Light" w:eastAsia="微軟正黑體" w:hAnsi="Avenir Light" w:cs="Times New Roman"/>
          <w:color w:val="000000" w:themeColor="text1"/>
          <w:szCs w:val="24"/>
        </w:rPr>
        <w:t xml:space="preserve">In case of any discrepancy between the English and the Chinese version, the </w:t>
      </w:r>
      <w:r>
        <w:rPr>
          <w:rFonts w:ascii="Avenir Light" w:eastAsia="微軟正黑體" w:hAnsi="Avenir Light" w:cs="Times New Roman"/>
          <w:color w:val="000000" w:themeColor="text1"/>
          <w:szCs w:val="24"/>
        </w:rPr>
        <w:t>Chinese</w:t>
      </w:r>
      <w:r w:rsidRPr="00E43501">
        <w:rPr>
          <w:rFonts w:ascii="Avenir Light" w:eastAsia="微軟正黑體" w:hAnsi="Avenir Light" w:cs="Times New Roman"/>
          <w:color w:val="000000" w:themeColor="text1"/>
          <w:szCs w:val="24"/>
        </w:rPr>
        <w:t xml:space="preserve"> version shall prevail.</w:t>
      </w:r>
      <w:bookmarkStart w:id="1" w:name="_GoBack"/>
      <w:bookmarkEnd w:id="1"/>
    </w:p>
    <w:sectPr w:rsidR="00E43501" w:rsidRPr="0026049E" w:rsidSect="000E0A19"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BAC7" w14:textId="77777777" w:rsidR="00F57781" w:rsidRDefault="00F57781" w:rsidP="0022572A">
      <w:r>
        <w:separator/>
      </w:r>
    </w:p>
  </w:endnote>
  <w:endnote w:type="continuationSeparator" w:id="0">
    <w:p w14:paraId="3DCC3A00" w14:textId="77777777" w:rsidR="00F57781" w:rsidRDefault="00F57781" w:rsidP="0022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501F5" w14:textId="77777777" w:rsidR="00F57781" w:rsidRDefault="00F57781" w:rsidP="0022572A">
      <w:r>
        <w:separator/>
      </w:r>
    </w:p>
  </w:footnote>
  <w:footnote w:type="continuationSeparator" w:id="0">
    <w:p w14:paraId="23993897" w14:textId="77777777" w:rsidR="00F57781" w:rsidRDefault="00F57781" w:rsidP="0022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B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7539D7"/>
    <w:multiLevelType w:val="hybridMultilevel"/>
    <w:tmpl w:val="A29470A6"/>
    <w:lvl w:ilvl="0" w:tplc="74E4D7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368FD"/>
    <w:multiLevelType w:val="hybridMultilevel"/>
    <w:tmpl w:val="154C4F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C0324"/>
    <w:multiLevelType w:val="hybridMultilevel"/>
    <w:tmpl w:val="AD228222"/>
    <w:lvl w:ilvl="0" w:tplc="B380E98C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F3776D"/>
    <w:multiLevelType w:val="hybridMultilevel"/>
    <w:tmpl w:val="A29470A6"/>
    <w:lvl w:ilvl="0" w:tplc="74E4D7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727168"/>
    <w:multiLevelType w:val="hybridMultilevel"/>
    <w:tmpl w:val="C4DA5058"/>
    <w:lvl w:ilvl="0" w:tplc="C2AE32E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9474B"/>
    <w:multiLevelType w:val="hybridMultilevel"/>
    <w:tmpl w:val="795E9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1D2BFB"/>
    <w:multiLevelType w:val="hybridMultilevel"/>
    <w:tmpl w:val="06A2D368"/>
    <w:lvl w:ilvl="0" w:tplc="74E4D7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0B6768"/>
    <w:multiLevelType w:val="hybridMultilevel"/>
    <w:tmpl w:val="A29470A6"/>
    <w:lvl w:ilvl="0" w:tplc="74E4D7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8A"/>
    <w:rsid w:val="00004C84"/>
    <w:rsid w:val="000403D4"/>
    <w:rsid w:val="00047B3F"/>
    <w:rsid w:val="000E0A19"/>
    <w:rsid w:val="0022572A"/>
    <w:rsid w:val="002570E5"/>
    <w:rsid w:val="0026049E"/>
    <w:rsid w:val="00263098"/>
    <w:rsid w:val="00267326"/>
    <w:rsid w:val="00320354"/>
    <w:rsid w:val="003233E6"/>
    <w:rsid w:val="003463CB"/>
    <w:rsid w:val="00346C15"/>
    <w:rsid w:val="00346D7B"/>
    <w:rsid w:val="00376684"/>
    <w:rsid w:val="0038143A"/>
    <w:rsid w:val="003963BA"/>
    <w:rsid w:val="003F72D3"/>
    <w:rsid w:val="0041181B"/>
    <w:rsid w:val="00423E23"/>
    <w:rsid w:val="00442262"/>
    <w:rsid w:val="00453430"/>
    <w:rsid w:val="004E079E"/>
    <w:rsid w:val="004E24BA"/>
    <w:rsid w:val="004F0180"/>
    <w:rsid w:val="00500B41"/>
    <w:rsid w:val="0054368A"/>
    <w:rsid w:val="005804AC"/>
    <w:rsid w:val="0063627D"/>
    <w:rsid w:val="00637DBD"/>
    <w:rsid w:val="006679A9"/>
    <w:rsid w:val="006916F0"/>
    <w:rsid w:val="006C53CB"/>
    <w:rsid w:val="006D6E23"/>
    <w:rsid w:val="00744F19"/>
    <w:rsid w:val="00791741"/>
    <w:rsid w:val="00857569"/>
    <w:rsid w:val="00860D47"/>
    <w:rsid w:val="00877A93"/>
    <w:rsid w:val="008D2D0A"/>
    <w:rsid w:val="008E32C5"/>
    <w:rsid w:val="008F76C1"/>
    <w:rsid w:val="00946841"/>
    <w:rsid w:val="009723FB"/>
    <w:rsid w:val="00977BEE"/>
    <w:rsid w:val="009822C9"/>
    <w:rsid w:val="009C6280"/>
    <w:rsid w:val="00A45874"/>
    <w:rsid w:val="00AA4372"/>
    <w:rsid w:val="00AE7D1E"/>
    <w:rsid w:val="00AF7468"/>
    <w:rsid w:val="00B1032F"/>
    <w:rsid w:val="00B35E49"/>
    <w:rsid w:val="00B5468A"/>
    <w:rsid w:val="00B5559B"/>
    <w:rsid w:val="00B673A4"/>
    <w:rsid w:val="00B70264"/>
    <w:rsid w:val="00B73292"/>
    <w:rsid w:val="00B873FA"/>
    <w:rsid w:val="00BB117F"/>
    <w:rsid w:val="00BF3C2C"/>
    <w:rsid w:val="00BF7155"/>
    <w:rsid w:val="00C17AAE"/>
    <w:rsid w:val="00C66FE7"/>
    <w:rsid w:val="00C779D5"/>
    <w:rsid w:val="00CA7212"/>
    <w:rsid w:val="00CA7592"/>
    <w:rsid w:val="00CC109A"/>
    <w:rsid w:val="00CE0147"/>
    <w:rsid w:val="00CE174B"/>
    <w:rsid w:val="00D169DD"/>
    <w:rsid w:val="00D47673"/>
    <w:rsid w:val="00D83B64"/>
    <w:rsid w:val="00D90ABD"/>
    <w:rsid w:val="00E107E7"/>
    <w:rsid w:val="00E22D17"/>
    <w:rsid w:val="00E43501"/>
    <w:rsid w:val="00E85FB6"/>
    <w:rsid w:val="00EB4295"/>
    <w:rsid w:val="00F2159D"/>
    <w:rsid w:val="00F41FB3"/>
    <w:rsid w:val="00F57781"/>
    <w:rsid w:val="00F61A86"/>
    <w:rsid w:val="00F72923"/>
    <w:rsid w:val="00F73C35"/>
    <w:rsid w:val="00F85F81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CFDF7"/>
  <w15:docId w15:val="{917637F3-B658-45A9-8B2B-E33B6C85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準,表名,第三階"/>
    <w:basedOn w:val="a"/>
    <w:link w:val="a4"/>
    <w:uiPriority w:val="34"/>
    <w:qFormat/>
    <w:rsid w:val="00B546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57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572A"/>
    <w:rPr>
      <w:sz w:val="20"/>
      <w:szCs w:val="20"/>
    </w:rPr>
  </w:style>
  <w:style w:type="character" w:customStyle="1" w:styleId="a4">
    <w:name w:val="清單段落 字元"/>
    <w:aliases w:val="標準 字元,表名 字元,第三階 字元"/>
    <w:link w:val="a3"/>
    <w:uiPriority w:val="34"/>
    <w:rsid w:val="00D83B64"/>
  </w:style>
  <w:style w:type="paragraph" w:styleId="a9">
    <w:name w:val="Balloon Text"/>
    <w:basedOn w:val="a"/>
    <w:link w:val="aa"/>
    <w:uiPriority w:val="99"/>
    <w:semiHidden/>
    <w:unhideWhenUsed/>
    <w:rsid w:val="005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黃馨慧</dc:creator>
  <cp:lastModifiedBy>林靜怡</cp:lastModifiedBy>
  <cp:revision>4</cp:revision>
  <cp:lastPrinted>2020-03-12T05:58:00Z</cp:lastPrinted>
  <dcterms:created xsi:type="dcterms:W3CDTF">2020-06-02T01:43:00Z</dcterms:created>
  <dcterms:modified xsi:type="dcterms:W3CDTF">2020-06-03T07:30:00Z</dcterms:modified>
</cp:coreProperties>
</file>