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BB" w:rsidRPr="00E74732" w:rsidRDefault="004D5781" w:rsidP="000A2EC5">
      <w:pPr>
        <w:tabs>
          <w:tab w:val="left" w:pos="142"/>
        </w:tabs>
        <w:snapToGrid w:val="0"/>
        <w:spacing w:line="140" w:lineRule="atLeast"/>
        <w:ind w:leftChars="177" w:left="425"/>
        <w:jc w:val="center"/>
        <w:rPr>
          <w:rFonts w:ascii="Times New Roman" w:eastAsia="標楷體" w:hAnsi="Times New Roman" w:cs="Times New Roman"/>
          <w:sz w:val="36"/>
          <w:szCs w:val="28"/>
        </w:rPr>
      </w:pPr>
      <w:r w:rsidRPr="00E74732">
        <w:rPr>
          <w:rFonts w:ascii="Times New Roman" w:eastAsia="標楷體" w:hAnsi="Times New Roman" w:cs="Times New Roman"/>
          <w:sz w:val="36"/>
          <w:szCs w:val="28"/>
        </w:rPr>
        <w:t>臺中港務分公司推動</w:t>
      </w:r>
      <w:r w:rsidR="00C919BB" w:rsidRPr="00E74732">
        <w:rPr>
          <w:rFonts w:ascii="Times New Roman" w:eastAsia="標楷體" w:hAnsi="Times New Roman" w:cs="Times New Roman"/>
          <w:sz w:val="36"/>
          <w:szCs w:val="28"/>
        </w:rPr>
        <w:t>職業安全衛生管理系統</w:t>
      </w:r>
    </w:p>
    <w:p w:rsidR="00ED4DA7" w:rsidRPr="00E74732" w:rsidRDefault="004D5781" w:rsidP="000A2EC5">
      <w:pPr>
        <w:snapToGrid w:val="0"/>
        <w:spacing w:line="140" w:lineRule="atLeast"/>
        <w:jc w:val="center"/>
        <w:rPr>
          <w:rFonts w:ascii="Times New Roman" w:eastAsia="標楷體" w:hAnsi="Times New Roman" w:cs="Times New Roman"/>
          <w:sz w:val="36"/>
          <w:szCs w:val="28"/>
        </w:rPr>
      </w:pPr>
      <w:r w:rsidRPr="00E74732">
        <w:rPr>
          <w:rFonts w:ascii="Times New Roman" w:eastAsia="標楷體" w:hAnsi="Times New Roman" w:cs="Times New Roman"/>
          <w:sz w:val="36"/>
          <w:szCs w:val="28"/>
        </w:rPr>
        <w:t>法規鑑別</w:t>
      </w:r>
      <w:r w:rsidR="002F39D0" w:rsidRPr="00E74732">
        <w:rPr>
          <w:rFonts w:ascii="Times New Roman" w:eastAsia="標楷體" w:hAnsi="Times New Roman" w:cs="Times New Roman" w:hint="eastAsia"/>
          <w:sz w:val="36"/>
          <w:szCs w:val="28"/>
        </w:rPr>
        <w:t>過程</w:t>
      </w:r>
    </w:p>
    <w:p w:rsidR="004D5781" w:rsidRPr="00BB4723" w:rsidRDefault="004D5781" w:rsidP="000A2EC5">
      <w:pPr>
        <w:snapToGrid w:val="0"/>
        <w:spacing w:line="140" w:lineRule="atLeast"/>
        <w:rPr>
          <w:rFonts w:ascii="Times New Roman" w:eastAsia="標楷體" w:hAnsi="Times New Roman" w:cs="Times New Roman"/>
          <w:sz w:val="28"/>
          <w:szCs w:val="28"/>
        </w:rPr>
      </w:pPr>
    </w:p>
    <w:p w:rsidR="004D5781" w:rsidRPr="00BB4723" w:rsidRDefault="00C919BB" w:rsidP="000A2EC5">
      <w:pPr>
        <w:snapToGrid w:val="0"/>
        <w:spacing w:line="140" w:lineRule="atLeast"/>
        <w:ind w:firstLine="480"/>
        <w:rPr>
          <w:rFonts w:ascii="Times New Roman" w:eastAsia="標楷體" w:hAnsi="Times New Roman" w:cs="Times New Roman"/>
          <w:sz w:val="28"/>
          <w:szCs w:val="28"/>
        </w:rPr>
      </w:pPr>
      <w:r w:rsidRPr="00BB4723">
        <w:rPr>
          <w:rFonts w:ascii="Times New Roman" w:eastAsia="標楷體" w:hAnsi="Times New Roman" w:cs="Times New Roman"/>
          <w:sz w:val="28"/>
          <w:szCs w:val="28"/>
        </w:rPr>
        <w:t>職業安全衛生管理系統</w:t>
      </w:r>
      <w:r w:rsidR="00753E53" w:rsidRPr="00BB4723">
        <w:rPr>
          <w:rFonts w:ascii="Times New Roman" w:eastAsia="標楷體" w:hAnsi="Times New Roman" w:cs="Times New Roman"/>
          <w:sz w:val="28"/>
          <w:szCs w:val="28"/>
        </w:rPr>
        <w:t>之</w:t>
      </w:r>
      <w:r w:rsidRPr="00BB4723">
        <w:rPr>
          <w:rFonts w:ascii="Times New Roman" w:eastAsia="標楷體" w:hAnsi="Times New Roman" w:cs="Times New Roman"/>
          <w:sz w:val="28"/>
          <w:szCs w:val="28"/>
        </w:rPr>
        <w:t>目</w:t>
      </w:r>
      <w:r w:rsidR="00753E53" w:rsidRPr="00BB4723">
        <w:rPr>
          <w:rFonts w:ascii="Times New Roman" w:eastAsia="標楷體" w:hAnsi="Times New Roman" w:cs="Times New Roman"/>
          <w:sz w:val="28"/>
          <w:szCs w:val="28"/>
        </w:rPr>
        <w:t>標</w:t>
      </w:r>
      <w:r w:rsidRPr="00BB4723">
        <w:rPr>
          <w:rFonts w:ascii="Times New Roman" w:eastAsia="標楷體" w:hAnsi="Times New Roman" w:cs="Times New Roman"/>
          <w:sz w:val="28"/>
          <w:szCs w:val="28"/>
        </w:rPr>
        <w:t>是要</w:t>
      </w:r>
      <w:r w:rsidR="00753E53" w:rsidRPr="00BB4723">
        <w:rPr>
          <w:rFonts w:ascii="Times New Roman" w:eastAsia="標楷體" w:hAnsi="Times New Roman" w:cs="Times New Roman"/>
          <w:sz w:val="28"/>
          <w:szCs w:val="28"/>
        </w:rPr>
        <w:t>預防與工作者之相關工作受傷及健康妨害，並提供安全與健康的工作場所；因此事業單位採取有效的預防及保護措施，以消除危害或儘量降低職業安全衛生風險極為重要。因此職業安全衛生管理系統</w:t>
      </w:r>
      <w:r w:rsidR="00121E23" w:rsidRPr="00BB4723">
        <w:rPr>
          <w:rFonts w:ascii="Times New Roman" w:eastAsia="標楷體" w:hAnsi="Times New Roman" w:cs="Times New Roman"/>
          <w:sz w:val="28"/>
          <w:szCs w:val="28"/>
        </w:rPr>
        <w:t>提供一個事業符合法規的架構，使事業在推動職業安全衛生管理系統時，將法規要求及其他要求事項納入考量</w:t>
      </w:r>
      <w:r w:rsidR="009A053C" w:rsidRPr="00BB4723">
        <w:rPr>
          <w:rFonts w:ascii="Times New Roman" w:eastAsia="標楷體" w:hAnsi="Times New Roman" w:cs="Times New Roman"/>
          <w:sz w:val="28"/>
          <w:szCs w:val="28"/>
        </w:rPr>
        <w:t>，因此對</w:t>
      </w:r>
      <w:r w:rsidR="00C9172C" w:rsidRPr="00BB4723">
        <w:rPr>
          <w:rFonts w:ascii="Times New Roman" w:eastAsia="標楷體" w:hAnsi="Times New Roman" w:cs="Times New Roman"/>
          <w:sz w:val="28"/>
          <w:szCs w:val="28"/>
        </w:rPr>
        <w:t>事業</w:t>
      </w:r>
      <w:r w:rsidR="009A053C" w:rsidRPr="00BB4723">
        <w:rPr>
          <w:rFonts w:ascii="Times New Roman" w:eastAsia="標楷體" w:hAnsi="Times New Roman" w:cs="Times New Roman"/>
          <w:sz w:val="28"/>
          <w:szCs w:val="28"/>
        </w:rPr>
        <w:t>而言，鑑別法律規範的適用性，其重要性不言而喻。</w:t>
      </w:r>
    </w:p>
    <w:p w:rsidR="001A5A59" w:rsidRDefault="001A5A59" w:rsidP="000A2EC5">
      <w:pPr>
        <w:snapToGrid w:val="0"/>
        <w:spacing w:line="140" w:lineRule="atLeast"/>
        <w:ind w:firstLine="482"/>
        <w:rPr>
          <w:rFonts w:ascii="標楷體" w:eastAsia="標楷體" w:hAnsi="標楷體"/>
          <w:sz w:val="28"/>
          <w:szCs w:val="28"/>
        </w:rPr>
      </w:pPr>
    </w:p>
    <w:p w:rsidR="001C603F" w:rsidRPr="00BB4723" w:rsidRDefault="00DC3029" w:rsidP="000A2EC5">
      <w:pPr>
        <w:snapToGrid w:val="0"/>
        <w:spacing w:line="140" w:lineRule="atLeast"/>
        <w:ind w:firstLine="482"/>
        <w:rPr>
          <w:rFonts w:ascii="標楷體" w:eastAsia="標楷體" w:hAnsi="標楷體"/>
          <w:sz w:val="28"/>
          <w:szCs w:val="28"/>
        </w:rPr>
      </w:pPr>
      <w:r w:rsidRPr="00BB4723">
        <w:rPr>
          <w:rFonts w:ascii="標楷體" w:eastAsia="標楷體" w:hAnsi="標楷體" w:hint="eastAsia"/>
          <w:sz w:val="28"/>
          <w:szCs w:val="28"/>
        </w:rPr>
        <w:t>科建</w:t>
      </w:r>
      <w:r w:rsidR="00DE50EE" w:rsidRPr="00BB4723">
        <w:rPr>
          <w:rFonts w:ascii="標楷體" w:eastAsia="標楷體" w:hAnsi="標楷體" w:hint="eastAsia"/>
          <w:sz w:val="28"/>
          <w:szCs w:val="28"/>
        </w:rPr>
        <w:t>顧問在</w:t>
      </w:r>
      <w:r w:rsidR="00690C44" w:rsidRPr="00BB4723">
        <w:rPr>
          <w:rFonts w:ascii="標楷體" w:eastAsia="標楷體" w:hAnsi="標楷體" w:hint="eastAsia"/>
          <w:sz w:val="28"/>
          <w:szCs w:val="28"/>
        </w:rPr>
        <w:t>輔導</w:t>
      </w:r>
      <w:r w:rsidR="00045088" w:rsidRPr="00BB4723">
        <w:rPr>
          <w:rFonts w:ascii="標楷體" w:eastAsia="標楷體" w:hAnsi="標楷體" w:hint="eastAsia"/>
          <w:sz w:val="28"/>
          <w:szCs w:val="28"/>
        </w:rPr>
        <w:t>職業安全衛生管理系統</w:t>
      </w:r>
      <w:r w:rsidR="00DE50EE" w:rsidRPr="00BB4723">
        <w:rPr>
          <w:rFonts w:ascii="標楷體" w:eastAsia="標楷體" w:hAnsi="標楷體" w:hint="eastAsia"/>
          <w:sz w:val="28"/>
          <w:szCs w:val="28"/>
        </w:rPr>
        <w:t>經驗中發現，事業單位在未導入</w:t>
      </w:r>
      <w:r w:rsidRPr="00BB4723">
        <w:rPr>
          <w:rFonts w:ascii="標楷體" w:eastAsia="標楷體" w:hAnsi="標楷體" w:hint="eastAsia"/>
          <w:sz w:val="28"/>
          <w:szCs w:val="28"/>
        </w:rPr>
        <w:t>職業安全衛生</w:t>
      </w:r>
      <w:r w:rsidR="00DE50EE" w:rsidRPr="00BB4723">
        <w:rPr>
          <w:rFonts w:ascii="標楷體" w:eastAsia="標楷體" w:hAnsi="標楷體" w:hint="eastAsia"/>
          <w:sz w:val="28"/>
          <w:szCs w:val="28"/>
        </w:rPr>
        <w:t>管理系統</w:t>
      </w:r>
      <w:r w:rsidRPr="00BB4723">
        <w:rPr>
          <w:rFonts w:ascii="標楷體" w:eastAsia="標楷體" w:hAnsi="標楷體" w:hint="eastAsia"/>
          <w:sz w:val="28"/>
          <w:szCs w:val="28"/>
        </w:rPr>
        <w:t>時，對於定期查核法規並未規範較具體之作法，通常採被動作法，例如</w:t>
      </w:r>
      <w:r w:rsidR="00045088" w:rsidRPr="00BB4723">
        <w:rPr>
          <w:rFonts w:ascii="標楷體" w:eastAsia="標楷體" w:hAnsi="標楷體" w:hint="eastAsia"/>
          <w:sz w:val="28"/>
          <w:szCs w:val="28"/>
        </w:rPr>
        <w:t>利害相關者之要求、主管機關稽查或來函所提出之改善事項等，事業單位才會採取相對應之改善</w:t>
      </w:r>
      <w:r w:rsidR="006F4339" w:rsidRPr="00BB4723">
        <w:rPr>
          <w:rFonts w:ascii="標楷體" w:eastAsia="標楷體" w:hAnsi="標楷體" w:hint="eastAsia"/>
          <w:sz w:val="28"/>
          <w:szCs w:val="28"/>
        </w:rPr>
        <w:t>措施</w:t>
      </w:r>
      <w:r w:rsidR="004B496D" w:rsidRPr="00BB4723">
        <w:rPr>
          <w:rFonts w:ascii="標楷體" w:eastAsia="標楷體" w:hAnsi="標楷體" w:hint="eastAsia"/>
          <w:sz w:val="28"/>
          <w:szCs w:val="28"/>
        </w:rPr>
        <w:t>。</w:t>
      </w:r>
    </w:p>
    <w:p w:rsidR="001A5A59" w:rsidRDefault="001A5A59" w:rsidP="000A2EC5">
      <w:pPr>
        <w:snapToGrid w:val="0"/>
        <w:spacing w:line="140" w:lineRule="atLeast"/>
        <w:ind w:firstLine="482"/>
        <w:rPr>
          <w:rFonts w:ascii="標楷體" w:eastAsia="標楷體" w:hAnsi="標楷體"/>
          <w:sz w:val="28"/>
          <w:szCs w:val="28"/>
        </w:rPr>
      </w:pPr>
    </w:p>
    <w:p w:rsidR="004B496D" w:rsidRPr="00BB4723" w:rsidRDefault="004B496D" w:rsidP="000A2EC5">
      <w:pPr>
        <w:snapToGrid w:val="0"/>
        <w:spacing w:line="140" w:lineRule="atLeast"/>
        <w:ind w:firstLine="482"/>
        <w:rPr>
          <w:rFonts w:ascii="標楷體" w:eastAsia="標楷體" w:hAnsi="標楷體"/>
          <w:sz w:val="28"/>
          <w:szCs w:val="28"/>
        </w:rPr>
      </w:pPr>
      <w:r w:rsidRPr="00BB4723">
        <w:rPr>
          <w:rFonts w:ascii="標楷體" w:eastAsia="標楷體" w:hAnsi="標楷體" w:hint="eastAsia"/>
          <w:sz w:val="28"/>
          <w:szCs w:val="28"/>
        </w:rPr>
        <w:t>事業建立職業安全生管理系統時，應依照</w:t>
      </w:r>
      <w:r w:rsidR="001C602A" w:rsidRPr="00BB4723">
        <w:rPr>
          <w:rFonts w:ascii="標楷體" w:eastAsia="標楷體" w:hAnsi="標楷體" w:hint="eastAsia"/>
          <w:sz w:val="28"/>
          <w:szCs w:val="28"/>
        </w:rPr>
        <w:t>管理系統要求</w:t>
      </w:r>
      <w:r w:rsidRPr="00BB4723">
        <w:rPr>
          <w:rFonts w:ascii="標楷體" w:eastAsia="標楷體" w:hAnsi="標楷體" w:hint="eastAsia"/>
          <w:sz w:val="28"/>
          <w:szCs w:val="28"/>
        </w:rPr>
        <w:t>採取主動積極方式鑑別適用於其危害、職業安全衛生風險及職業安全衛生管理系統有關的法規要求事項及其他要求事項</w:t>
      </w:r>
      <w:r w:rsidR="001C602A" w:rsidRPr="00BB4723">
        <w:rPr>
          <w:rFonts w:ascii="標楷體" w:eastAsia="標楷體" w:hAnsi="標楷體" w:hint="eastAsia"/>
          <w:sz w:val="28"/>
          <w:szCs w:val="28"/>
        </w:rPr>
        <w:t>，並從法規要求事項及其他要求事項找出可能對事業產生之風險與機會來做因應</w:t>
      </w:r>
      <w:r w:rsidR="00C845DB" w:rsidRPr="00BB4723">
        <w:rPr>
          <w:rFonts w:ascii="標楷體" w:eastAsia="標楷體" w:hAnsi="標楷體" w:hint="eastAsia"/>
          <w:sz w:val="28"/>
          <w:szCs w:val="28"/>
        </w:rPr>
        <w:t>，</w:t>
      </w:r>
      <w:r w:rsidR="001C603F" w:rsidRPr="00BB4723">
        <w:rPr>
          <w:rFonts w:ascii="標楷體" w:eastAsia="標楷體" w:hAnsi="標楷體" w:hint="eastAsia"/>
          <w:sz w:val="28"/>
          <w:szCs w:val="28"/>
        </w:rPr>
        <w:t>法規鑑別步驟如圖</w:t>
      </w:r>
      <w:r w:rsidR="000E7AED" w:rsidRPr="00BB4723">
        <w:rPr>
          <w:rFonts w:ascii="標楷體" w:eastAsia="標楷體" w:hAnsi="標楷體" w:hint="eastAsia"/>
          <w:sz w:val="28"/>
          <w:szCs w:val="28"/>
        </w:rPr>
        <w:t>1</w:t>
      </w:r>
      <w:r w:rsidR="00E46395" w:rsidRPr="00BB4723">
        <w:rPr>
          <w:rFonts w:ascii="標楷體" w:eastAsia="標楷體" w:hAnsi="標楷體" w:hint="eastAsia"/>
          <w:sz w:val="28"/>
          <w:szCs w:val="28"/>
        </w:rPr>
        <w:t>所示。</w:t>
      </w:r>
    </w:p>
    <w:p w:rsidR="00274D1D" w:rsidRPr="00BB4723" w:rsidRDefault="005E77B8" w:rsidP="000A2EC5">
      <w:pPr>
        <w:snapToGrid w:val="0"/>
        <w:spacing w:line="140" w:lineRule="atLeast"/>
        <w:ind w:firstLine="482"/>
        <w:jc w:val="center"/>
        <w:rPr>
          <w:rFonts w:ascii="標楷體" w:eastAsia="標楷體" w:hAnsi="標楷體"/>
          <w:sz w:val="28"/>
          <w:szCs w:val="28"/>
        </w:rPr>
      </w:pPr>
      <w:r w:rsidRPr="00BB4723">
        <w:rPr>
          <w:rFonts w:ascii="標楷體" w:eastAsia="標楷體" w:hAnsi="標楷體"/>
          <w:noProof/>
          <w:sz w:val="28"/>
          <w:szCs w:val="28"/>
        </w:rPr>
        <w:drawing>
          <wp:inline distT="0" distB="0" distL="0" distR="0" wp14:anchorId="1518A9CE">
            <wp:extent cx="3413760" cy="381635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760" cy="3816350"/>
                    </a:xfrm>
                    <a:prstGeom prst="rect">
                      <a:avLst/>
                    </a:prstGeom>
                    <a:noFill/>
                  </pic:spPr>
                </pic:pic>
              </a:graphicData>
            </a:graphic>
          </wp:inline>
        </w:drawing>
      </w:r>
    </w:p>
    <w:p w:rsidR="000E7AED" w:rsidRPr="00BB4723" w:rsidRDefault="000E7AED" w:rsidP="000A2EC5">
      <w:pPr>
        <w:snapToGrid w:val="0"/>
        <w:spacing w:line="140" w:lineRule="atLeast"/>
        <w:ind w:firstLine="482"/>
        <w:rPr>
          <w:rFonts w:ascii="標楷體" w:eastAsia="標楷體" w:hAnsi="標楷體"/>
          <w:sz w:val="28"/>
          <w:szCs w:val="28"/>
        </w:rPr>
      </w:pPr>
      <w:r w:rsidRPr="00BB4723">
        <w:rPr>
          <w:rFonts w:ascii="標楷體" w:eastAsia="標楷體" w:hAnsi="標楷體" w:hint="eastAsia"/>
          <w:sz w:val="28"/>
          <w:szCs w:val="28"/>
        </w:rPr>
        <w:t xml:space="preserve">             圖1、法規鑑別流程圖</w:t>
      </w:r>
    </w:p>
    <w:p w:rsidR="001A5A59" w:rsidRDefault="001A5A59" w:rsidP="000A2EC5">
      <w:pPr>
        <w:snapToGrid w:val="0"/>
        <w:spacing w:line="140" w:lineRule="atLeast"/>
        <w:ind w:firstLine="482"/>
        <w:rPr>
          <w:rFonts w:ascii="標楷體" w:eastAsia="標楷體" w:hAnsi="標楷體"/>
          <w:sz w:val="28"/>
          <w:szCs w:val="28"/>
        </w:rPr>
      </w:pPr>
    </w:p>
    <w:p w:rsidR="00E46395" w:rsidRPr="00BB4723" w:rsidRDefault="00E46395" w:rsidP="000A2EC5">
      <w:pPr>
        <w:snapToGrid w:val="0"/>
        <w:spacing w:line="140" w:lineRule="atLeast"/>
        <w:ind w:firstLine="482"/>
        <w:rPr>
          <w:rFonts w:ascii="標楷體" w:eastAsia="標楷體" w:hAnsi="標楷體"/>
          <w:sz w:val="28"/>
          <w:szCs w:val="28"/>
        </w:rPr>
      </w:pPr>
      <w:bookmarkStart w:id="0" w:name="_GoBack"/>
      <w:bookmarkEnd w:id="0"/>
      <w:r w:rsidRPr="00BB4723">
        <w:rPr>
          <w:rFonts w:ascii="標楷體" w:eastAsia="標楷體" w:hAnsi="標楷體" w:hint="eastAsia"/>
          <w:sz w:val="28"/>
          <w:szCs w:val="28"/>
        </w:rPr>
        <w:lastRenderedPageBreak/>
        <w:t>臺中港務分公司建立職業安全衛生管理系統時，應考量下列</w:t>
      </w:r>
      <w:r w:rsidR="001577C3" w:rsidRPr="00BB4723">
        <w:rPr>
          <w:rFonts w:ascii="標楷體" w:eastAsia="標楷體" w:hAnsi="標楷體" w:hint="eastAsia"/>
          <w:sz w:val="28"/>
          <w:szCs w:val="28"/>
        </w:rPr>
        <w:t>事項並</w:t>
      </w:r>
      <w:r w:rsidR="000E7AED" w:rsidRPr="00BB4723">
        <w:rPr>
          <w:rFonts w:ascii="標楷體" w:eastAsia="標楷體" w:hAnsi="標楷體" w:hint="eastAsia"/>
          <w:sz w:val="28"/>
          <w:szCs w:val="28"/>
        </w:rPr>
        <w:t>依據圖1</w:t>
      </w:r>
      <w:r w:rsidR="001577C3" w:rsidRPr="00BB4723">
        <w:rPr>
          <w:rFonts w:ascii="標楷體" w:eastAsia="標楷體" w:hAnsi="標楷體" w:hint="eastAsia"/>
          <w:sz w:val="28"/>
          <w:szCs w:val="28"/>
        </w:rPr>
        <w:t>之流程</w:t>
      </w:r>
      <w:r w:rsidR="000E7AED" w:rsidRPr="00BB4723">
        <w:rPr>
          <w:rFonts w:ascii="標楷體" w:eastAsia="標楷體" w:hAnsi="標楷體" w:hint="eastAsia"/>
          <w:sz w:val="28"/>
          <w:szCs w:val="28"/>
        </w:rPr>
        <w:t>判斷相關性與進行守規性評估</w:t>
      </w:r>
      <w:r w:rsidRPr="00BB4723">
        <w:rPr>
          <w:rFonts w:ascii="標楷體" w:eastAsia="標楷體" w:hAnsi="標楷體" w:hint="eastAsia"/>
          <w:sz w:val="28"/>
          <w:szCs w:val="28"/>
        </w:rPr>
        <w:t>：</w:t>
      </w:r>
    </w:p>
    <w:p w:rsidR="00C845DB" w:rsidRPr="00BB4723" w:rsidRDefault="00136D5B" w:rsidP="000A2EC5">
      <w:pPr>
        <w:pStyle w:val="a3"/>
        <w:numPr>
          <w:ilvl w:val="0"/>
          <w:numId w:val="1"/>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法規要求事項可包括</w:t>
      </w:r>
      <w:r w:rsidR="00EC21BE" w:rsidRPr="00BB4723">
        <w:rPr>
          <w:rFonts w:ascii="標楷體" w:eastAsia="標楷體" w:hAnsi="標楷體" w:hint="eastAsia"/>
          <w:sz w:val="28"/>
          <w:szCs w:val="28"/>
        </w:rPr>
        <w:t>：</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國家或地方法令及法規。</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行政命令及指令。</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主管機關頒布的命令。</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許可、證照或其他形式的授權。</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法院或行政法庭判決。</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條約、公約、協議。</w:t>
      </w:r>
    </w:p>
    <w:p w:rsidR="00136D5B" w:rsidRPr="00BB4723" w:rsidRDefault="00136D5B" w:rsidP="000A2EC5">
      <w:pPr>
        <w:pStyle w:val="a3"/>
        <w:numPr>
          <w:ilvl w:val="1"/>
          <w:numId w:val="2"/>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集體談判協議。</w:t>
      </w:r>
    </w:p>
    <w:p w:rsidR="00E46395" w:rsidRPr="00BB4723" w:rsidRDefault="00E46395" w:rsidP="000A2EC5">
      <w:pPr>
        <w:pStyle w:val="a3"/>
        <w:numPr>
          <w:ilvl w:val="0"/>
          <w:numId w:val="1"/>
        </w:numPr>
        <w:snapToGrid w:val="0"/>
        <w:spacing w:line="140" w:lineRule="atLeast"/>
        <w:ind w:leftChars="0"/>
        <w:rPr>
          <w:rFonts w:ascii="標楷體" w:eastAsia="標楷體" w:hAnsi="標楷體"/>
          <w:sz w:val="28"/>
          <w:szCs w:val="28"/>
        </w:rPr>
      </w:pPr>
      <w:r w:rsidRPr="00BB4723">
        <w:rPr>
          <w:rFonts w:ascii="標楷體" w:eastAsia="標楷體" w:hAnsi="標楷體" w:hint="eastAsia"/>
          <w:sz w:val="28"/>
          <w:szCs w:val="28"/>
        </w:rPr>
        <w:t>其他要求事項可包括：</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組織的要求事項。</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合約條件。</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雇用協議。</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與利害相關者達成的協議。</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與衛生主管機關達成的協議。</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非法規標準、共識性標準及指導綱要。</w:t>
      </w:r>
    </w:p>
    <w:p w:rsidR="00E46395"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自發性原則、實務準則、技術規範、特許。</w:t>
      </w:r>
    </w:p>
    <w:p w:rsidR="005E77B8" w:rsidRPr="00BB4723" w:rsidRDefault="00E46395" w:rsidP="000A2EC5">
      <w:pPr>
        <w:pStyle w:val="a3"/>
        <w:numPr>
          <w:ilvl w:val="2"/>
          <w:numId w:val="5"/>
        </w:numPr>
        <w:snapToGrid w:val="0"/>
        <w:spacing w:line="140" w:lineRule="atLeast"/>
        <w:ind w:leftChars="0" w:left="1417" w:hanging="425"/>
        <w:rPr>
          <w:rFonts w:ascii="標楷體" w:eastAsia="標楷體" w:hAnsi="標楷體"/>
          <w:sz w:val="28"/>
          <w:szCs w:val="28"/>
        </w:rPr>
      </w:pPr>
      <w:r w:rsidRPr="00BB4723">
        <w:rPr>
          <w:rFonts w:ascii="標楷體" w:eastAsia="標楷體" w:hAnsi="標楷體" w:hint="eastAsia"/>
          <w:sz w:val="28"/>
          <w:szCs w:val="28"/>
        </w:rPr>
        <w:t>組織或母公司公開的承諾</w:t>
      </w:r>
    </w:p>
    <w:p w:rsidR="00131EB5" w:rsidRPr="00BB4723" w:rsidRDefault="00131EB5" w:rsidP="000A2EC5">
      <w:pPr>
        <w:pStyle w:val="a3"/>
        <w:snapToGrid w:val="0"/>
        <w:spacing w:line="140" w:lineRule="atLeast"/>
        <w:ind w:leftChars="0" w:left="1417"/>
        <w:rPr>
          <w:rFonts w:ascii="標楷體" w:eastAsia="標楷體" w:hAnsi="標楷體"/>
          <w:sz w:val="28"/>
          <w:szCs w:val="28"/>
        </w:rPr>
      </w:pPr>
    </w:p>
    <w:p w:rsidR="00FC4814" w:rsidRPr="00BB4723" w:rsidRDefault="001D4719" w:rsidP="000A2EC5">
      <w:pPr>
        <w:snapToGrid w:val="0"/>
        <w:spacing w:line="140" w:lineRule="atLeast"/>
        <w:ind w:firstLine="480"/>
        <w:rPr>
          <w:rFonts w:ascii="標楷體" w:eastAsia="標楷體" w:hAnsi="標楷體"/>
          <w:sz w:val="28"/>
          <w:szCs w:val="28"/>
        </w:rPr>
      </w:pPr>
      <w:r w:rsidRPr="00BB4723">
        <w:rPr>
          <w:rFonts w:ascii="標楷體" w:eastAsia="標楷體" w:hAnsi="標楷體" w:hint="eastAsia"/>
          <w:sz w:val="28"/>
          <w:szCs w:val="28"/>
        </w:rPr>
        <w:t>臺中港務分公司</w:t>
      </w:r>
      <w:r w:rsidR="001577C3" w:rsidRPr="00BB4723">
        <w:rPr>
          <w:rFonts w:ascii="標楷體" w:eastAsia="標楷體" w:hAnsi="標楷體" w:hint="eastAsia"/>
          <w:sz w:val="28"/>
          <w:szCs w:val="28"/>
        </w:rPr>
        <w:t>應</w:t>
      </w:r>
      <w:r w:rsidR="006F710B" w:rsidRPr="00BB4723">
        <w:rPr>
          <w:rFonts w:ascii="標楷體" w:eastAsia="標楷體" w:hAnsi="標楷體" w:hint="eastAsia"/>
          <w:sz w:val="28"/>
          <w:szCs w:val="28"/>
        </w:rPr>
        <w:t>決定</w:t>
      </w:r>
      <w:r w:rsidR="001C693F" w:rsidRPr="00BB4723">
        <w:rPr>
          <w:rFonts w:ascii="標楷體" w:eastAsia="標楷體" w:hAnsi="標楷體" w:hint="eastAsia"/>
          <w:sz w:val="28"/>
          <w:szCs w:val="28"/>
        </w:rPr>
        <w:t>適用的法規要求如何應用於公司內部，以及決定如何履行法規要求事項及其他要求事項，除可透過職業安全衛生委員會與工作者溝通</w:t>
      </w:r>
      <w:r w:rsidR="00FC4814" w:rsidRPr="00BB4723">
        <w:rPr>
          <w:rFonts w:ascii="標楷體" w:eastAsia="標楷體" w:hAnsi="標楷體" w:hint="eastAsia"/>
          <w:sz w:val="28"/>
          <w:szCs w:val="28"/>
        </w:rPr>
        <w:t>外，也可考慮以</w:t>
      </w:r>
      <w:r w:rsidR="001577C3" w:rsidRPr="00BB4723">
        <w:rPr>
          <w:rFonts w:ascii="標楷體" w:eastAsia="標楷體" w:hAnsi="標楷體" w:hint="eastAsia"/>
          <w:sz w:val="28"/>
          <w:szCs w:val="28"/>
        </w:rPr>
        <w:t>教育訓練、</w:t>
      </w:r>
      <w:r w:rsidR="00FC4814" w:rsidRPr="00BB4723">
        <w:rPr>
          <w:rFonts w:ascii="標楷體" w:eastAsia="標楷體" w:hAnsi="標楷體" w:hint="eastAsia"/>
          <w:sz w:val="28"/>
          <w:szCs w:val="28"/>
        </w:rPr>
        <w:t>公告</w:t>
      </w:r>
      <w:r w:rsidR="001577C3" w:rsidRPr="00BB4723">
        <w:rPr>
          <w:rFonts w:ascii="標楷體" w:eastAsia="標楷體" w:hAnsi="標楷體" w:hint="eastAsia"/>
          <w:sz w:val="28"/>
          <w:szCs w:val="28"/>
        </w:rPr>
        <w:t>、</w:t>
      </w:r>
      <w:r w:rsidR="00FC4814" w:rsidRPr="00BB4723">
        <w:rPr>
          <w:rFonts w:ascii="標楷體" w:eastAsia="標楷體" w:hAnsi="標楷體" w:hint="eastAsia"/>
          <w:sz w:val="28"/>
          <w:szCs w:val="28"/>
        </w:rPr>
        <w:t>其他</w:t>
      </w:r>
      <w:r w:rsidR="001577C3" w:rsidRPr="00BB4723">
        <w:rPr>
          <w:rFonts w:ascii="標楷體" w:eastAsia="標楷體" w:hAnsi="標楷體" w:hint="eastAsia"/>
          <w:sz w:val="28"/>
          <w:szCs w:val="28"/>
        </w:rPr>
        <w:t>會議</w:t>
      </w:r>
      <w:r w:rsidR="00815AA3" w:rsidRPr="00BB4723">
        <w:rPr>
          <w:rFonts w:ascii="標楷體" w:eastAsia="標楷體" w:hAnsi="標楷體" w:hint="eastAsia"/>
          <w:sz w:val="28"/>
          <w:szCs w:val="28"/>
        </w:rPr>
        <w:t>使</w:t>
      </w:r>
      <w:r w:rsidR="001577C3" w:rsidRPr="00BB4723">
        <w:rPr>
          <w:rFonts w:ascii="標楷體" w:eastAsia="標楷體" w:hAnsi="標楷體" w:hint="eastAsia"/>
          <w:sz w:val="28"/>
          <w:szCs w:val="28"/>
        </w:rPr>
        <w:t>工作者</w:t>
      </w:r>
      <w:r w:rsidRPr="00BB4723">
        <w:rPr>
          <w:rFonts w:ascii="標楷體" w:eastAsia="標楷體" w:hAnsi="標楷體" w:hint="eastAsia"/>
          <w:sz w:val="28"/>
          <w:szCs w:val="28"/>
        </w:rPr>
        <w:t>認知與其有關之法規</w:t>
      </w:r>
      <w:r w:rsidR="00FC4814" w:rsidRPr="00BB4723">
        <w:rPr>
          <w:rFonts w:ascii="標楷體" w:eastAsia="標楷體" w:hAnsi="標楷體" w:hint="eastAsia"/>
          <w:sz w:val="28"/>
          <w:szCs w:val="28"/>
        </w:rPr>
        <w:t>及相對應之管制措</w:t>
      </w:r>
      <w:r w:rsidR="00815AA3" w:rsidRPr="00BB4723">
        <w:rPr>
          <w:rFonts w:ascii="標楷體" w:eastAsia="標楷體" w:hAnsi="標楷體" w:hint="eastAsia"/>
          <w:sz w:val="28"/>
          <w:szCs w:val="28"/>
        </w:rPr>
        <w:t>施，透過監督量測、內部稽核等措施確認工作者是否遵守相關管制規定，若有未符合法規項目則應擬定矯正措施</w:t>
      </w:r>
      <w:r w:rsidR="003D08BB" w:rsidRPr="00BB4723">
        <w:rPr>
          <w:rFonts w:ascii="標楷體" w:eastAsia="標楷體" w:hAnsi="標楷體" w:hint="eastAsia"/>
          <w:sz w:val="28"/>
          <w:szCs w:val="28"/>
        </w:rPr>
        <w:t>實施改進。</w:t>
      </w:r>
    </w:p>
    <w:p w:rsidR="001A5A59" w:rsidRDefault="001A5A59" w:rsidP="000A2EC5">
      <w:pPr>
        <w:snapToGrid w:val="0"/>
        <w:spacing w:line="140" w:lineRule="atLeast"/>
        <w:ind w:firstLine="482"/>
        <w:rPr>
          <w:rFonts w:ascii="標楷體" w:eastAsia="標楷體" w:hAnsi="標楷體"/>
          <w:sz w:val="28"/>
          <w:szCs w:val="28"/>
        </w:rPr>
      </w:pPr>
    </w:p>
    <w:p w:rsidR="003D08BB" w:rsidRPr="00BB4723" w:rsidRDefault="003D08BB" w:rsidP="000A2EC5">
      <w:pPr>
        <w:snapToGrid w:val="0"/>
        <w:spacing w:line="140" w:lineRule="atLeast"/>
        <w:ind w:firstLine="482"/>
        <w:rPr>
          <w:rFonts w:ascii="標楷體" w:eastAsia="標楷體" w:hAnsi="標楷體"/>
          <w:sz w:val="28"/>
          <w:szCs w:val="28"/>
        </w:rPr>
      </w:pPr>
      <w:r w:rsidRPr="00BB4723">
        <w:rPr>
          <w:rFonts w:ascii="標楷體" w:eastAsia="標楷體" w:hAnsi="標楷體" w:hint="eastAsia"/>
          <w:sz w:val="28"/>
          <w:szCs w:val="28"/>
        </w:rPr>
        <w:t>遵守法規且符合法規是本公司保障工作者健康及安全的最低底線，</w:t>
      </w:r>
      <w:r w:rsidR="00DD377F" w:rsidRPr="00BB4723">
        <w:rPr>
          <w:rFonts w:ascii="標楷體" w:eastAsia="標楷體" w:hAnsi="標楷體" w:hint="eastAsia"/>
          <w:sz w:val="28"/>
          <w:szCs w:val="28"/>
        </w:rPr>
        <w:t>因此本公司除定期進行法規鑑別外，</w:t>
      </w:r>
      <w:r w:rsidR="00300333" w:rsidRPr="00BB4723">
        <w:rPr>
          <w:rFonts w:ascii="標楷體" w:eastAsia="標楷體" w:hAnsi="標楷體" w:hint="eastAsia"/>
          <w:sz w:val="28"/>
          <w:szCs w:val="28"/>
        </w:rPr>
        <w:t>也會將鑑別結果在管理審查會議或職業安全衛生委員會向最高管理階層報告，會議中也將諮詢工作者共同討論採行之管制措施，期望</w:t>
      </w:r>
      <w:r w:rsidR="006F552C" w:rsidRPr="00BB4723">
        <w:rPr>
          <w:rFonts w:ascii="標楷體" w:eastAsia="標楷體" w:hAnsi="標楷體" w:hint="eastAsia"/>
          <w:sz w:val="28"/>
          <w:szCs w:val="28"/>
        </w:rPr>
        <w:t>在領導者參與及在與工作者諮詢下，共同建立健康安全的工作環境，</w:t>
      </w:r>
      <w:r w:rsidR="006313BD" w:rsidRPr="00BB4723">
        <w:rPr>
          <w:rFonts w:ascii="標楷體" w:eastAsia="標楷體" w:hAnsi="標楷體" w:hint="eastAsia"/>
          <w:sz w:val="28"/>
          <w:szCs w:val="28"/>
        </w:rPr>
        <w:t>打造</w:t>
      </w:r>
      <w:r w:rsidR="00A613E5" w:rsidRPr="00BB4723">
        <w:rPr>
          <w:rFonts w:ascii="標楷體" w:eastAsia="標楷體" w:hAnsi="標楷體" w:hint="eastAsia"/>
          <w:sz w:val="28"/>
          <w:szCs w:val="28"/>
        </w:rPr>
        <w:t>港區</w:t>
      </w:r>
      <w:r w:rsidR="006313BD" w:rsidRPr="00BB4723">
        <w:rPr>
          <w:rFonts w:ascii="標楷體" w:eastAsia="標楷體" w:hAnsi="標楷體" w:hint="eastAsia"/>
          <w:sz w:val="28"/>
          <w:szCs w:val="28"/>
        </w:rPr>
        <w:t>安全新文化。</w:t>
      </w:r>
    </w:p>
    <w:p w:rsidR="00FC4814" w:rsidRPr="00BB4723" w:rsidRDefault="00FC4814" w:rsidP="000A2EC5">
      <w:pPr>
        <w:snapToGrid w:val="0"/>
        <w:spacing w:line="140" w:lineRule="atLeast"/>
        <w:ind w:firstLine="480"/>
        <w:rPr>
          <w:rFonts w:ascii="標楷體" w:eastAsia="標楷體" w:hAnsi="標楷體"/>
          <w:sz w:val="28"/>
          <w:szCs w:val="28"/>
        </w:rPr>
      </w:pPr>
    </w:p>
    <w:p w:rsidR="00FC4814" w:rsidRPr="00BB4723" w:rsidRDefault="00FC4814" w:rsidP="000A2EC5">
      <w:pPr>
        <w:snapToGrid w:val="0"/>
        <w:spacing w:line="140" w:lineRule="atLeast"/>
        <w:ind w:firstLine="480"/>
        <w:rPr>
          <w:rFonts w:ascii="標楷體" w:eastAsia="標楷體" w:hAnsi="標楷體"/>
          <w:sz w:val="28"/>
          <w:szCs w:val="28"/>
        </w:rPr>
      </w:pPr>
    </w:p>
    <w:p w:rsidR="000E7AED" w:rsidRPr="00BB4723" w:rsidRDefault="000E7AED" w:rsidP="000A2EC5">
      <w:pPr>
        <w:snapToGrid w:val="0"/>
        <w:spacing w:line="140" w:lineRule="atLeast"/>
        <w:ind w:firstLine="480"/>
        <w:rPr>
          <w:rFonts w:ascii="標楷體" w:eastAsia="標楷體" w:hAnsi="標楷體"/>
          <w:sz w:val="28"/>
          <w:szCs w:val="28"/>
        </w:rPr>
      </w:pPr>
    </w:p>
    <w:sectPr w:rsidR="000E7AED" w:rsidRPr="00BB4723" w:rsidSect="000A2EC5">
      <w:pgSz w:w="11906" w:h="16838"/>
      <w:pgMar w:top="1440"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906" w:rsidRDefault="00BB5906" w:rsidP="002F39D0">
      <w:r>
        <w:separator/>
      </w:r>
    </w:p>
  </w:endnote>
  <w:endnote w:type="continuationSeparator" w:id="0">
    <w:p w:rsidR="00BB5906" w:rsidRDefault="00BB5906" w:rsidP="002F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906" w:rsidRDefault="00BB5906" w:rsidP="002F39D0">
      <w:r>
        <w:separator/>
      </w:r>
    </w:p>
  </w:footnote>
  <w:footnote w:type="continuationSeparator" w:id="0">
    <w:p w:rsidR="00BB5906" w:rsidRDefault="00BB5906" w:rsidP="002F3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A48"/>
    <w:multiLevelType w:val="hybridMultilevel"/>
    <w:tmpl w:val="3BE66268"/>
    <w:lvl w:ilvl="0" w:tplc="F0E08912">
      <w:start w:val="1"/>
      <w:numFmt w:val="decimal"/>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35B63AA0"/>
    <w:multiLevelType w:val="hybridMultilevel"/>
    <w:tmpl w:val="99AA7B7A"/>
    <w:lvl w:ilvl="0" w:tplc="F0E08912">
      <w:start w:val="1"/>
      <w:numFmt w:val="decimal"/>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F0E08912">
      <w:start w:val="1"/>
      <w:numFmt w:val="decimal"/>
      <w:lvlText w:val="%3)"/>
      <w:lvlJc w:val="left"/>
      <w:pPr>
        <w:ind w:left="2433" w:hanging="480"/>
      </w:pPr>
      <w:rPr>
        <w:rFonts w:cs="Times New Roman"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439D311E"/>
    <w:multiLevelType w:val="hybridMultilevel"/>
    <w:tmpl w:val="344EF15A"/>
    <w:lvl w:ilvl="0" w:tplc="0409000F">
      <w:start w:val="1"/>
      <w:numFmt w:val="decimal"/>
      <w:lvlText w:val="%1."/>
      <w:lvlJc w:val="left"/>
      <w:pPr>
        <w:ind w:left="962" w:hanging="480"/>
      </w:pPr>
    </w:lvl>
    <w:lvl w:ilvl="1" w:tplc="F0E08912">
      <w:start w:val="1"/>
      <w:numFmt w:val="decimal"/>
      <w:lvlText w:val="%2)"/>
      <w:lvlJc w:val="left"/>
      <w:pPr>
        <w:ind w:left="1442" w:hanging="480"/>
      </w:pPr>
      <w:rPr>
        <w:rFonts w:cs="Times New Roman"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615E1C1F"/>
    <w:multiLevelType w:val="hybridMultilevel"/>
    <w:tmpl w:val="CE9CB552"/>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B5006CBC">
      <w:start w:val="1"/>
      <w:numFmt w:val="decimal"/>
      <w:lvlText w:val="(%3)"/>
      <w:lvlJc w:val="left"/>
      <w:pPr>
        <w:ind w:left="1922" w:hanging="480"/>
      </w:pPr>
      <w:rPr>
        <w:rFonts w:hint="default"/>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7FBB6D5E"/>
    <w:multiLevelType w:val="hybridMultilevel"/>
    <w:tmpl w:val="0740986A"/>
    <w:lvl w:ilvl="0" w:tplc="F0E08912">
      <w:start w:val="1"/>
      <w:numFmt w:val="decimal"/>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378E8CAC">
      <w:start w:val="6"/>
      <w:numFmt w:val="lowerLetter"/>
      <w:lvlText w:val="%3)."/>
      <w:lvlJc w:val="left"/>
      <w:pPr>
        <w:ind w:left="2433" w:hanging="480"/>
      </w:pPr>
      <w:rPr>
        <w:rFonts w:hint="eastAsia"/>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81"/>
    <w:rsid w:val="00045088"/>
    <w:rsid w:val="000A2EC5"/>
    <w:rsid w:val="000E430C"/>
    <w:rsid w:val="000E7AED"/>
    <w:rsid w:val="000F0C53"/>
    <w:rsid w:val="00121E23"/>
    <w:rsid w:val="00131EB5"/>
    <w:rsid w:val="00136D5B"/>
    <w:rsid w:val="001577C3"/>
    <w:rsid w:val="001A5A59"/>
    <w:rsid w:val="001C602A"/>
    <w:rsid w:val="001C603F"/>
    <w:rsid w:val="001C693F"/>
    <w:rsid w:val="001D4719"/>
    <w:rsid w:val="00265A04"/>
    <w:rsid w:val="00274D1D"/>
    <w:rsid w:val="002F39D0"/>
    <w:rsid w:val="00300333"/>
    <w:rsid w:val="003D08BB"/>
    <w:rsid w:val="004B496D"/>
    <w:rsid w:val="004D5781"/>
    <w:rsid w:val="005E77B8"/>
    <w:rsid w:val="006313BD"/>
    <w:rsid w:val="00690C44"/>
    <w:rsid w:val="006F4339"/>
    <w:rsid w:val="006F552C"/>
    <w:rsid w:val="006F710B"/>
    <w:rsid w:val="00744738"/>
    <w:rsid w:val="00753E53"/>
    <w:rsid w:val="00765CB0"/>
    <w:rsid w:val="00815AA3"/>
    <w:rsid w:val="00876673"/>
    <w:rsid w:val="009A053C"/>
    <w:rsid w:val="00A22223"/>
    <w:rsid w:val="00A60378"/>
    <w:rsid w:val="00A613E5"/>
    <w:rsid w:val="00B17AEB"/>
    <w:rsid w:val="00BB4723"/>
    <w:rsid w:val="00BB5906"/>
    <w:rsid w:val="00C845DB"/>
    <w:rsid w:val="00C9172C"/>
    <w:rsid w:val="00C919BB"/>
    <w:rsid w:val="00D954CE"/>
    <w:rsid w:val="00DA5F4C"/>
    <w:rsid w:val="00DC3029"/>
    <w:rsid w:val="00DD377F"/>
    <w:rsid w:val="00DE50EE"/>
    <w:rsid w:val="00E30198"/>
    <w:rsid w:val="00E37F75"/>
    <w:rsid w:val="00E46395"/>
    <w:rsid w:val="00E74732"/>
    <w:rsid w:val="00EC21BE"/>
    <w:rsid w:val="00ED1F8A"/>
    <w:rsid w:val="00ED4DA7"/>
    <w:rsid w:val="00FC4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7E1B7"/>
  <w15:chartTrackingRefBased/>
  <w15:docId w15:val="{45281B57-6E3C-4E3E-84AA-F25782F9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5B"/>
    <w:pPr>
      <w:ind w:leftChars="200" w:left="480"/>
    </w:pPr>
  </w:style>
  <w:style w:type="paragraph" w:styleId="a4">
    <w:name w:val="header"/>
    <w:basedOn w:val="a"/>
    <w:link w:val="a5"/>
    <w:uiPriority w:val="99"/>
    <w:unhideWhenUsed/>
    <w:rsid w:val="002F39D0"/>
    <w:pPr>
      <w:tabs>
        <w:tab w:val="center" w:pos="4153"/>
        <w:tab w:val="right" w:pos="8306"/>
      </w:tabs>
      <w:snapToGrid w:val="0"/>
    </w:pPr>
    <w:rPr>
      <w:sz w:val="20"/>
      <w:szCs w:val="20"/>
    </w:rPr>
  </w:style>
  <w:style w:type="character" w:customStyle="1" w:styleId="a5">
    <w:name w:val="頁首 字元"/>
    <w:basedOn w:val="a0"/>
    <w:link w:val="a4"/>
    <w:uiPriority w:val="99"/>
    <w:rsid w:val="002F39D0"/>
    <w:rPr>
      <w:sz w:val="20"/>
      <w:szCs w:val="20"/>
    </w:rPr>
  </w:style>
  <w:style w:type="paragraph" w:styleId="a6">
    <w:name w:val="footer"/>
    <w:basedOn w:val="a"/>
    <w:link w:val="a7"/>
    <w:uiPriority w:val="99"/>
    <w:unhideWhenUsed/>
    <w:rsid w:val="002F39D0"/>
    <w:pPr>
      <w:tabs>
        <w:tab w:val="center" w:pos="4153"/>
        <w:tab w:val="right" w:pos="8306"/>
      </w:tabs>
      <w:snapToGrid w:val="0"/>
    </w:pPr>
    <w:rPr>
      <w:sz w:val="20"/>
      <w:szCs w:val="20"/>
    </w:rPr>
  </w:style>
  <w:style w:type="character" w:customStyle="1" w:styleId="a7">
    <w:name w:val="頁尾 字元"/>
    <w:basedOn w:val="a0"/>
    <w:link w:val="a6"/>
    <w:uiPriority w:val="99"/>
    <w:rsid w:val="002F39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子辰 邱</dc:creator>
  <cp:keywords/>
  <dc:description/>
  <cp:lastModifiedBy>gauan-MAC</cp:lastModifiedBy>
  <cp:revision>16</cp:revision>
  <dcterms:created xsi:type="dcterms:W3CDTF">2019-02-18T03:37:00Z</dcterms:created>
  <dcterms:modified xsi:type="dcterms:W3CDTF">2019-03-08T03:07:00Z</dcterms:modified>
</cp:coreProperties>
</file>