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F0AA" w14:textId="370A536B" w:rsidR="00984FD5" w:rsidRPr="00984FD5" w:rsidRDefault="00984FD5" w:rsidP="00AE139E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企業永續報告書與職安衛</w:t>
      </w:r>
      <w:r w:rsidR="008300BA">
        <w:rPr>
          <w:rFonts w:ascii="標楷體" w:eastAsia="標楷體" w:hAnsi="標楷體" w:hint="eastAsia"/>
          <w:sz w:val="32"/>
          <w:szCs w:val="32"/>
        </w:rPr>
        <w:t>管理</w:t>
      </w:r>
      <w:r>
        <w:rPr>
          <w:rFonts w:ascii="標楷體" w:eastAsia="標楷體" w:hAnsi="標楷體" w:hint="eastAsia"/>
          <w:sz w:val="32"/>
          <w:szCs w:val="32"/>
        </w:rPr>
        <w:t>的關聯</w:t>
      </w:r>
    </w:p>
    <w:p w14:paraId="4E0DAF63" w14:textId="77DAE0CD" w:rsidR="00AE139E" w:rsidRDefault="00761418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84FD5" w:rsidRPr="00984FD5">
        <w:rPr>
          <w:rFonts w:ascii="標楷體" w:eastAsia="標楷體" w:hAnsi="標楷體"/>
          <w:sz w:val="28"/>
          <w:szCs w:val="28"/>
        </w:rPr>
        <w:t>臺灣港務公司於 10</w:t>
      </w:r>
      <w:r w:rsidR="00106AB9">
        <w:rPr>
          <w:rFonts w:ascii="標楷體" w:eastAsia="標楷體" w:hAnsi="標楷體" w:hint="eastAsia"/>
          <w:sz w:val="28"/>
          <w:szCs w:val="28"/>
        </w:rPr>
        <w:t>4</w:t>
      </w:r>
      <w:r w:rsidR="00984FD5" w:rsidRPr="00984FD5">
        <w:rPr>
          <w:rFonts w:ascii="標楷體" w:eastAsia="標楷體" w:hAnsi="標楷體"/>
          <w:sz w:val="28"/>
          <w:szCs w:val="28"/>
        </w:rPr>
        <w:t xml:space="preserve"> 年</w:t>
      </w:r>
      <w:r w:rsidR="00106AB9">
        <w:rPr>
          <w:rFonts w:ascii="標楷體" w:eastAsia="標楷體" w:hAnsi="標楷體" w:hint="eastAsia"/>
          <w:sz w:val="28"/>
          <w:szCs w:val="28"/>
        </w:rPr>
        <w:t>起</w:t>
      </w:r>
      <w:r w:rsidR="00F52867">
        <w:rPr>
          <w:rFonts w:ascii="標楷體" w:eastAsia="標楷體" w:hAnsi="標楷體" w:hint="eastAsia"/>
          <w:sz w:val="28"/>
          <w:szCs w:val="28"/>
        </w:rPr>
        <w:t>以</w:t>
      </w:r>
      <w:r w:rsidR="00F52867" w:rsidRPr="00F52867">
        <w:rPr>
          <w:rFonts w:ascii="標楷體" w:eastAsia="標楷體" w:hAnsi="標楷體" w:hint="eastAsia"/>
          <w:sz w:val="28"/>
          <w:szCs w:val="28"/>
        </w:rPr>
        <w:t xml:space="preserve">全球永續性報告組織(Global Reporting </w:t>
      </w:r>
      <w:proofErr w:type="spellStart"/>
      <w:r w:rsidR="00F52867" w:rsidRPr="00F52867">
        <w:rPr>
          <w:rFonts w:ascii="標楷體" w:eastAsia="標楷體" w:hAnsi="標楷體" w:hint="eastAsia"/>
          <w:sz w:val="28"/>
          <w:szCs w:val="28"/>
        </w:rPr>
        <w:t>Initiative,GRI</w:t>
      </w:r>
      <w:proofErr w:type="spellEnd"/>
      <w:r w:rsidR="00F52867" w:rsidRPr="00F52867">
        <w:rPr>
          <w:rFonts w:ascii="標楷體" w:eastAsia="標楷體" w:hAnsi="標楷體" w:hint="eastAsia"/>
          <w:sz w:val="28"/>
          <w:szCs w:val="28"/>
        </w:rPr>
        <w:t>)</w:t>
      </w:r>
      <w:r w:rsidR="00F52867">
        <w:rPr>
          <w:rFonts w:ascii="標楷體" w:eastAsia="標楷體" w:hAnsi="標楷體" w:hint="eastAsia"/>
          <w:sz w:val="28"/>
          <w:szCs w:val="28"/>
        </w:rPr>
        <w:t>所發行的</w:t>
      </w:r>
      <w:proofErr w:type="gramStart"/>
      <w:r w:rsidR="00F52867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="00F52867">
        <w:rPr>
          <w:rFonts w:ascii="標楷體" w:eastAsia="標楷體" w:hAnsi="標楷體" w:hint="eastAsia"/>
          <w:sz w:val="28"/>
          <w:szCs w:val="28"/>
        </w:rPr>
        <w:t>綱領為原則，</w:t>
      </w:r>
      <w:r w:rsidR="00106AB9">
        <w:rPr>
          <w:rFonts w:ascii="標楷體" w:eastAsia="標楷體" w:hAnsi="標楷體" w:hint="eastAsia"/>
          <w:sz w:val="28"/>
          <w:szCs w:val="28"/>
        </w:rPr>
        <w:t>編撰企業責任</w:t>
      </w:r>
      <w:r w:rsidR="008300BA">
        <w:rPr>
          <w:rFonts w:ascii="標楷體" w:eastAsia="標楷體" w:hAnsi="標楷體" w:hint="eastAsia"/>
          <w:sz w:val="28"/>
          <w:szCs w:val="28"/>
        </w:rPr>
        <w:t>(永續)</w:t>
      </w:r>
      <w:r w:rsidR="00106AB9">
        <w:rPr>
          <w:rFonts w:ascii="標楷體" w:eastAsia="標楷體" w:hAnsi="標楷體" w:hint="eastAsia"/>
          <w:sz w:val="28"/>
          <w:szCs w:val="28"/>
        </w:rPr>
        <w:t>報告書，並放置於公司網站，</w:t>
      </w:r>
      <w:r w:rsidR="00F52867">
        <w:rPr>
          <w:rFonts w:ascii="標楷體" w:eastAsia="標楷體" w:hAnsi="標楷體" w:hint="eastAsia"/>
          <w:sz w:val="28"/>
          <w:szCs w:val="28"/>
        </w:rPr>
        <w:t>並</w:t>
      </w:r>
      <w:r w:rsidR="00106AB9">
        <w:rPr>
          <w:rFonts w:ascii="標楷體" w:eastAsia="標楷體" w:hAnsi="標楷體" w:hint="eastAsia"/>
          <w:sz w:val="28"/>
          <w:szCs w:val="28"/>
        </w:rPr>
        <w:t>每年定期揭露公司治理、環境及社會的</w:t>
      </w:r>
      <w:r w:rsidR="00F52867">
        <w:rPr>
          <w:rFonts w:ascii="標楷體" w:eastAsia="標楷體" w:hAnsi="標楷體" w:hint="eastAsia"/>
          <w:sz w:val="28"/>
          <w:szCs w:val="28"/>
        </w:rPr>
        <w:t>執行情形</w:t>
      </w:r>
      <w:r w:rsidR="00924FE6">
        <w:rPr>
          <w:rFonts w:ascii="標楷體" w:eastAsia="標楷體" w:hAnsi="標楷體" w:hint="eastAsia"/>
          <w:sz w:val="28"/>
          <w:szCs w:val="28"/>
        </w:rPr>
        <w:t>。</w:t>
      </w:r>
    </w:p>
    <w:p w14:paraId="09D3C3DC" w14:textId="677BE4AE" w:rsidR="00AF219F" w:rsidRDefault="00AE139E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84FD5" w:rsidRPr="00984FD5">
        <w:rPr>
          <w:rFonts w:ascii="標楷體" w:eastAsia="標楷體" w:hAnsi="標楷體"/>
          <w:sz w:val="28"/>
          <w:szCs w:val="28"/>
        </w:rPr>
        <w:t>職業安全衛生管理</w:t>
      </w:r>
      <w:r w:rsidR="00F517C7">
        <w:rPr>
          <w:rFonts w:ascii="標楷體" w:eastAsia="標楷體" w:hAnsi="標楷體" w:hint="eastAsia"/>
          <w:sz w:val="28"/>
          <w:szCs w:val="28"/>
        </w:rPr>
        <w:t>章節屬於GRI準則的4</w:t>
      </w:r>
      <w:r w:rsidR="00F517C7">
        <w:rPr>
          <w:rFonts w:ascii="標楷體" w:eastAsia="標楷體" w:hAnsi="標楷體"/>
          <w:sz w:val="28"/>
          <w:szCs w:val="28"/>
        </w:rPr>
        <w:t>03</w:t>
      </w:r>
      <w:r w:rsidR="00F517C7">
        <w:rPr>
          <w:rFonts w:ascii="標楷體" w:eastAsia="標楷體" w:hAnsi="標楷體" w:hint="eastAsia"/>
          <w:sz w:val="28"/>
          <w:szCs w:val="28"/>
        </w:rPr>
        <w:t>條文</w:t>
      </w:r>
      <w:r w:rsidR="004E6399">
        <w:rPr>
          <w:rFonts w:ascii="標楷體" w:eastAsia="標楷體" w:hAnsi="標楷體" w:hint="eastAsia"/>
          <w:sz w:val="28"/>
          <w:szCs w:val="28"/>
        </w:rPr>
        <w:t>(</w:t>
      </w:r>
      <w:r w:rsidR="004E6399">
        <w:rPr>
          <w:rFonts w:ascii="標楷體" w:eastAsia="標楷體" w:hAnsi="標楷體"/>
          <w:sz w:val="28"/>
          <w:szCs w:val="28"/>
        </w:rPr>
        <w:t>2021</w:t>
      </w:r>
      <w:r w:rsidR="004E6399">
        <w:rPr>
          <w:rFonts w:ascii="標楷體" w:eastAsia="標楷體" w:hAnsi="標楷體" w:hint="eastAsia"/>
          <w:sz w:val="28"/>
          <w:szCs w:val="28"/>
        </w:rPr>
        <w:t>年1月</w:t>
      </w:r>
      <w:r w:rsidR="004E6399">
        <w:rPr>
          <w:rFonts w:ascii="標楷體" w:eastAsia="標楷體" w:hAnsi="標楷體"/>
          <w:sz w:val="28"/>
          <w:szCs w:val="28"/>
        </w:rPr>
        <w:t>1</w:t>
      </w:r>
      <w:r w:rsidR="004E6399">
        <w:rPr>
          <w:rFonts w:ascii="標楷體" w:eastAsia="標楷體" w:hAnsi="標楷體" w:hint="eastAsia"/>
          <w:sz w:val="28"/>
          <w:szCs w:val="28"/>
        </w:rPr>
        <w:t>日生效)</w:t>
      </w:r>
      <w:r w:rsidR="000760D1">
        <w:rPr>
          <w:rFonts w:ascii="標楷體" w:eastAsia="標楷體" w:hAnsi="標楷體" w:hint="eastAsia"/>
          <w:sz w:val="28"/>
          <w:szCs w:val="28"/>
        </w:rPr>
        <w:t>，</w:t>
      </w:r>
      <w:r w:rsidR="00FE0515">
        <w:rPr>
          <w:rFonts w:ascii="標楷體" w:eastAsia="標楷體" w:hAnsi="標楷體" w:hint="eastAsia"/>
          <w:sz w:val="28"/>
          <w:szCs w:val="28"/>
        </w:rPr>
        <w:t>規範建立職業安全衛生管理系統、作業危害風險評估分級管理措施、</w:t>
      </w:r>
      <w:r w:rsidR="00924FE6">
        <w:rPr>
          <w:rFonts w:ascii="標楷體" w:eastAsia="標楷體" w:hAnsi="標楷體" w:hint="eastAsia"/>
          <w:sz w:val="28"/>
          <w:szCs w:val="28"/>
        </w:rPr>
        <w:t>企業</w:t>
      </w:r>
      <w:r w:rsidR="00FE0515">
        <w:rPr>
          <w:rFonts w:ascii="標楷體" w:eastAsia="標楷體" w:hAnsi="標楷體" w:hint="eastAsia"/>
          <w:sz w:val="28"/>
          <w:szCs w:val="28"/>
        </w:rPr>
        <w:t>健康</w:t>
      </w:r>
      <w:r w:rsidR="00924FE6">
        <w:rPr>
          <w:rFonts w:ascii="標楷體" w:eastAsia="標楷體" w:hAnsi="標楷體" w:hint="eastAsia"/>
          <w:sz w:val="28"/>
          <w:szCs w:val="28"/>
        </w:rPr>
        <w:t>服務</w:t>
      </w:r>
      <w:r w:rsidR="00FE0515">
        <w:rPr>
          <w:rFonts w:ascii="標楷體" w:eastAsia="標楷體" w:hAnsi="標楷體" w:hint="eastAsia"/>
          <w:sz w:val="28"/>
          <w:szCs w:val="28"/>
        </w:rPr>
        <w:t>、</w:t>
      </w:r>
      <w:r w:rsidR="00924FE6" w:rsidRPr="00924FE6">
        <w:rPr>
          <w:rFonts w:ascii="標楷體" w:eastAsia="標楷體" w:hAnsi="標楷體" w:hint="eastAsia"/>
          <w:sz w:val="28"/>
          <w:szCs w:val="28"/>
        </w:rPr>
        <w:t>職業安全衛生之工作者參與、諮詢與溝</w:t>
      </w:r>
      <w:r w:rsidR="00924FE6">
        <w:rPr>
          <w:rFonts w:ascii="標楷體" w:eastAsia="標楷體" w:hAnsi="標楷體" w:hint="eastAsia"/>
          <w:sz w:val="28"/>
          <w:szCs w:val="28"/>
        </w:rPr>
        <w:t>通</w:t>
      </w:r>
      <w:r w:rsidR="00FE0515">
        <w:rPr>
          <w:rFonts w:ascii="標楷體" w:eastAsia="標楷體" w:hAnsi="標楷體" w:hint="eastAsia"/>
          <w:sz w:val="28"/>
          <w:szCs w:val="28"/>
        </w:rPr>
        <w:t>、</w:t>
      </w:r>
      <w:r w:rsidR="00FE0515" w:rsidRPr="00FE0515">
        <w:rPr>
          <w:rFonts w:ascii="標楷體" w:eastAsia="標楷體" w:hAnsi="標楷體" w:hint="eastAsia"/>
          <w:sz w:val="28"/>
          <w:szCs w:val="28"/>
        </w:rPr>
        <w:t>工作者職業安全衛生訓練</w:t>
      </w:r>
      <w:r w:rsidR="00FE0515">
        <w:rPr>
          <w:rFonts w:ascii="標楷體" w:eastAsia="標楷體" w:hAnsi="標楷體" w:hint="eastAsia"/>
          <w:sz w:val="28"/>
          <w:szCs w:val="28"/>
        </w:rPr>
        <w:t>、工作者</w:t>
      </w:r>
      <w:r w:rsidR="00FE0515" w:rsidRPr="00FE0515">
        <w:rPr>
          <w:rFonts w:ascii="標楷體" w:eastAsia="標楷體" w:hAnsi="標楷體" w:hint="eastAsia"/>
          <w:sz w:val="28"/>
          <w:szCs w:val="28"/>
        </w:rPr>
        <w:t>健康</w:t>
      </w:r>
      <w:r w:rsidR="00924FE6">
        <w:rPr>
          <w:rFonts w:ascii="標楷體" w:eastAsia="標楷體" w:hAnsi="標楷體" w:hint="eastAsia"/>
          <w:sz w:val="28"/>
          <w:szCs w:val="28"/>
        </w:rPr>
        <w:t>促進</w:t>
      </w:r>
      <w:r w:rsidR="00FE0515" w:rsidRPr="00FE0515">
        <w:rPr>
          <w:rFonts w:ascii="標楷體" w:eastAsia="標楷體" w:hAnsi="標楷體" w:hint="eastAsia"/>
          <w:sz w:val="28"/>
          <w:szCs w:val="28"/>
        </w:rPr>
        <w:t>活動</w:t>
      </w:r>
      <w:r w:rsidR="00FE0515">
        <w:rPr>
          <w:rFonts w:ascii="標楷體" w:eastAsia="標楷體" w:hAnsi="標楷體" w:hint="eastAsia"/>
          <w:sz w:val="28"/>
          <w:szCs w:val="28"/>
        </w:rPr>
        <w:t>、</w:t>
      </w:r>
      <w:r w:rsidR="00924FE6" w:rsidRPr="00924FE6">
        <w:rPr>
          <w:rFonts w:ascii="標楷體" w:eastAsia="標楷體" w:hAnsi="標楷體" w:hint="eastAsia"/>
          <w:sz w:val="28"/>
          <w:szCs w:val="28"/>
        </w:rPr>
        <w:t>預防和減緩與業務關係直接相關聯之職業安全衛生的衝</w:t>
      </w:r>
      <w:r w:rsidR="00924FE6">
        <w:rPr>
          <w:rFonts w:ascii="標楷體" w:eastAsia="標楷體" w:hAnsi="標楷體" w:hint="eastAsia"/>
          <w:sz w:val="28"/>
          <w:szCs w:val="28"/>
        </w:rPr>
        <w:t>擊</w:t>
      </w:r>
      <w:r w:rsidR="00FE0515">
        <w:rPr>
          <w:rFonts w:ascii="標楷體" w:eastAsia="標楷體" w:hAnsi="標楷體" w:hint="eastAsia"/>
          <w:sz w:val="28"/>
          <w:szCs w:val="28"/>
        </w:rPr>
        <w:t>、</w:t>
      </w:r>
      <w:r w:rsidR="00924FE6" w:rsidRPr="00924FE6">
        <w:rPr>
          <w:rFonts w:ascii="標楷體" w:eastAsia="標楷體" w:hAnsi="標楷體" w:hint="eastAsia"/>
          <w:sz w:val="28"/>
          <w:szCs w:val="28"/>
        </w:rPr>
        <w:t>職業安全衛生管理系統所涵蓋之工作</w:t>
      </w:r>
      <w:r w:rsidR="00924FE6">
        <w:rPr>
          <w:rFonts w:ascii="標楷體" w:eastAsia="標楷體" w:hAnsi="標楷體" w:hint="eastAsia"/>
          <w:sz w:val="28"/>
          <w:szCs w:val="28"/>
        </w:rPr>
        <w:t>者、職業傷害統計、職業病統計等項目</w:t>
      </w:r>
      <w:r w:rsidR="00AF219F">
        <w:rPr>
          <w:rFonts w:ascii="標楷體" w:eastAsia="標楷體" w:hAnsi="標楷體" w:hint="eastAsia"/>
          <w:sz w:val="28"/>
          <w:szCs w:val="28"/>
        </w:rPr>
        <w:t>，企業可依照準則考量重大行屬性及專家建議將內容</w:t>
      </w:r>
      <w:r w:rsidR="008300BA">
        <w:rPr>
          <w:rFonts w:ascii="標楷體" w:eastAsia="標楷體" w:hAnsi="標楷體" w:hint="eastAsia"/>
          <w:sz w:val="28"/>
          <w:szCs w:val="28"/>
        </w:rPr>
        <w:t>揭</w:t>
      </w:r>
      <w:r w:rsidR="00AF219F">
        <w:rPr>
          <w:rFonts w:ascii="標楷體" w:eastAsia="標楷體" w:hAnsi="標楷體" w:hint="eastAsia"/>
          <w:sz w:val="28"/>
          <w:szCs w:val="28"/>
        </w:rPr>
        <w:t>露於報告書中</w:t>
      </w:r>
      <w:r w:rsidR="004E6399">
        <w:rPr>
          <w:rFonts w:ascii="標楷體" w:eastAsia="標楷體" w:hAnsi="標楷體" w:hint="eastAsia"/>
          <w:sz w:val="28"/>
          <w:szCs w:val="28"/>
        </w:rPr>
        <w:t>，不同於以往僅揭露被動性指標(職災人數、違反法規等)，增加許多主動性績效指標(教育訓練、危害辨識風險評估、健康促進等議題)</w:t>
      </w:r>
      <w:r w:rsidR="00AF219F">
        <w:rPr>
          <w:rFonts w:ascii="標楷體" w:eastAsia="標楷體" w:hAnsi="標楷體" w:hint="eastAsia"/>
          <w:sz w:val="28"/>
          <w:szCs w:val="28"/>
        </w:rPr>
        <w:t>。</w:t>
      </w:r>
    </w:p>
    <w:p w14:paraId="77D5E039" w14:textId="7C42BA06" w:rsidR="0024527D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0760D1">
        <w:rPr>
          <w:rFonts w:ascii="標楷體" w:eastAsia="標楷體" w:hAnsi="標楷體" w:hint="eastAsia"/>
          <w:sz w:val="28"/>
          <w:szCs w:val="28"/>
        </w:rPr>
        <w:t>職安署</w:t>
      </w:r>
      <w:proofErr w:type="gramEnd"/>
      <w:r w:rsidR="00A000A1">
        <w:rPr>
          <w:rFonts w:ascii="標楷體" w:eastAsia="標楷體" w:hAnsi="標楷體" w:hint="eastAsia"/>
          <w:sz w:val="28"/>
          <w:szCs w:val="28"/>
        </w:rPr>
        <w:t>在111年6月公告「</w:t>
      </w:r>
      <w:proofErr w:type="gramStart"/>
      <w:r w:rsidR="00A000A1" w:rsidRPr="00A000A1">
        <w:rPr>
          <w:rFonts w:ascii="標楷體" w:eastAsia="標楷體" w:hAnsi="標楷體" w:hint="eastAsia"/>
          <w:sz w:val="28"/>
          <w:szCs w:val="28"/>
        </w:rPr>
        <w:t>職場永續</w:t>
      </w:r>
      <w:proofErr w:type="gramEnd"/>
      <w:r w:rsidR="00A000A1" w:rsidRPr="00A000A1">
        <w:rPr>
          <w:rFonts w:ascii="標楷體" w:eastAsia="標楷體" w:hAnsi="標楷體" w:hint="eastAsia"/>
          <w:sz w:val="28"/>
          <w:szCs w:val="28"/>
        </w:rPr>
        <w:t>健康與安全SDGs揭露實務建議指南</w:t>
      </w:r>
      <w:r w:rsidR="00A000A1">
        <w:rPr>
          <w:rFonts w:ascii="標楷體" w:eastAsia="標楷體" w:hAnsi="標楷體" w:hint="eastAsia"/>
          <w:sz w:val="28"/>
          <w:szCs w:val="28"/>
        </w:rPr>
        <w:t>」</w:t>
      </w:r>
      <w:r w:rsidR="00E73B01">
        <w:rPr>
          <w:rFonts w:ascii="標楷體" w:eastAsia="標楷體" w:hAnsi="標楷體" w:hint="eastAsia"/>
          <w:sz w:val="28"/>
          <w:szCs w:val="28"/>
        </w:rPr>
        <w:t>，除了條文說明</w:t>
      </w:r>
      <w:proofErr w:type="gramStart"/>
      <w:r w:rsidR="00E73B01">
        <w:rPr>
          <w:rFonts w:ascii="標楷體" w:eastAsia="標楷體" w:hAnsi="標楷體" w:hint="eastAsia"/>
          <w:sz w:val="28"/>
          <w:szCs w:val="28"/>
        </w:rPr>
        <w:t>以外，</w:t>
      </w:r>
      <w:proofErr w:type="gramEnd"/>
      <w:r w:rsidR="00E73B01">
        <w:rPr>
          <w:rFonts w:ascii="標楷體" w:eastAsia="標楷體" w:hAnsi="標楷體" w:hint="eastAsia"/>
          <w:sz w:val="28"/>
          <w:szCs w:val="28"/>
        </w:rPr>
        <w:t>還提供相關案例，</w:t>
      </w:r>
      <w:r w:rsidR="00A000A1">
        <w:rPr>
          <w:rFonts w:ascii="標楷體" w:eastAsia="標楷體" w:hAnsi="標楷體" w:hint="eastAsia"/>
          <w:sz w:val="28"/>
          <w:szCs w:val="28"/>
        </w:rPr>
        <w:t>提供企業做為參考</w:t>
      </w:r>
      <w:r w:rsidR="005F1E38">
        <w:rPr>
          <w:rFonts w:ascii="標楷體" w:eastAsia="標楷體" w:hAnsi="標楷體" w:hint="eastAsia"/>
          <w:sz w:val="28"/>
          <w:szCs w:val="28"/>
        </w:rPr>
        <w:t>，期望企業要將主動性績效指標進行分析，例如透過教育訓練，強化員工對緊急事件的應變及處置更有效的執行</w:t>
      </w:r>
      <w:r w:rsidR="00984FD5" w:rsidRPr="00984FD5">
        <w:rPr>
          <w:rFonts w:ascii="標楷體" w:eastAsia="標楷體" w:hAnsi="標楷體"/>
          <w:sz w:val="28"/>
          <w:szCs w:val="28"/>
        </w:rPr>
        <w:t>。</w:t>
      </w:r>
    </w:p>
    <w:p w14:paraId="067C1350" w14:textId="4F088C35" w:rsidR="00AE139E" w:rsidRDefault="00AE139E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指南中特別指出</w:t>
      </w:r>
      <w:r w:rsidRPr="00AE139E">
        <w:rPr>
          <w:rFonts w:ascii="標楷體" w:eastAsia="標楷體" w:hAnsi="標楷體" w:hint="eastAsia"/>
          <w:sz w:val="28"/>
          <w:szCs w:val="28"/>
        </w:rPr>
        <w:t>企業在多元溝通與鑑別公司治理管理方針重大主題時，忽略職業健康與安全將對企業永續經營產生偌大影響。</w:t>
      </w:r>
      <w:r>
        <w:rPr>
          <w:rFonts w:ascii="標楷體" w:eastAsia="標楷體" w:hAnsi="標楷體" w:hint="eastAsia"/>
          <w:sz w:val="28"/>
          <w:szCs w:val="28"/>
        </w:rPr>
        <w:t>提供六件企業經理人要知道的事情：</w:t>
      </w:r>
    </w:p>
    <w:p w14:paraId="15F7B28F" w14:textId="21CFC5E5" w:rsidR="00AE139E" w:rsidRPr="00AF219F" w:rsidRDefault="00AF219F" w:rsidP="00AF219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="00AE139E" w:rsidRPr="00AF219F">
        <w:rPr>
          <w:rFonts w:ascii="標楷體" w:eastAsia="標楷體" w:hAnsi="標楷體" w:hint="eastAsia"/>
          <w:sz w:val="28"/>
          <w:szCs w:val="28"/>
        </w:rPr>
        <w:t>良好的職業健康與安全，是企業永續經營關鍵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68EF419" w14:textId="1FF46FA6" w:rsidR="00AE139E" w:rsidRPr="00AF219F" w:rsidRDefault="00AF219F" w:rsidP="00AF219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AF219F">
        <w:rPr>
          <w:rFonts w:ascii="標楷體" w:eastAsia="標楷體" w:hAnsi="標楷體" w:hint="eastAsia"/>
          <w:sz w:val="28"/>
          <w:szCs w:val="28"/>
        </w:rPr>
        <w:t>遵循法規義務，僅是最基本要求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BF1FE3F" w14:textId="0FF05D72" w:rsidR="00AF219F" w:rsidRPr="00AF219F" w:rsidRDefault="00AF219F" w:rsidP="00AF219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F219F">
        <w:rPr>
          <w:rFonts w:ascii="標楷體" w:eastAsia="標楷體" w:hAnsi="標楷體" w:hint="eastAsia"/>
          <w:sz w:val="28"/>
          <w:szCs w:val="28"/>
        </w:rPr>
        <w:t>透過風險評估，可支援有效管理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13FFC49" w14:textId="77806CD5" w:rsidR="00AF219F" w:rsidRPr="00AF219F" w:rsidRDefault="00AF219F" w:rsidP="00AF219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 w:rsidRPr="00AF219F">
        <w:rPr>
          <w:rFonts w:ascii="標楷體" w:eastAsia="標楷體" w:hAnsi="標楷體" w:hint="eastAsia"/>
          <w:sz w:val="28"/>
          <w:szCs w:val="28"/>
        </w:rPr>
        <w:t>預防，是避免風險的關鍵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FF0C713" w14:textId="2958F480" w:rsidR="00AF219F" w:rsidRPr="00AF219F" w:rsidRDefault="00AF219F" w:rsidP="00AF219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</w:t>
      </w:r>
      <w:r w:rsidRPr="00AF219F">
        <w:rPr>
          <w:rFonts w:ascii="標楷體" w:eastAsia="標楷體" w:hAnsi="標楷體" w:hint="eastAsia"/>
          <w:sz w:val="28"/>
          <w:szCs w:val="28"/>
        </w:rPr>
        <w:t>落實教育訓練，給員工最扎實的保護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3624D43" w14:textId="3EF56056" w:rsidR="00AF219F" w:rsidRPr="00AF219F" w:rsidRDefault="00AF219F" w:rsidP="00AF219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.</w:t>
      </w:r>
      <w:r w:rsidRPr="00AF219F">
        <w:rPr>
          <w:rFonts w:ascii="標楷體" w:eastAsia="標楷體" w:hAnsi="標楷體" w:hint="eastAsia"/>
          <w:sz w:val="28"/>
          <w:szCs w:val="28"/>
        </w:rPr>
        <w:t>領導者重視與授權，企業文化才</w:t>
      </w:r>
      <w:proofErr w:type="gramStart"/>
      <w:r w:rsidRPr="00AF219F">
        <w:rPr>
          <w:rFonts w:ascii="標楷體" w:eastAsia="標楷體" w:hAnsi="標楷體" w:hint="eastAsia"/>
          <w:sz w:val="28"/>
          <w:szCs w:val="28"/>
        </w:rPr>
        <w:t>得以塑</w:t>
      </w:r>
      <w:proofErr w:type="gramEnd"/>
      <w:r w:rsidRPr="00AF219F">
        <w:rPr>
          <w:rFonts w:ascii="標楷體" w:eastAsia="標楷體" w:hAnsi="標楷體" w:hint="eastAsia"/>
          <w:sz w:val="28"/>
          <w:szCs w:val="28"/>
        </w:rPr>
        <w:t>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767ECCA" w14:textId="72525E8A" w:rsidR="009927BF" w:rsidRPr="009927BF" w:rsidRDefault="0024527D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F219F">
        <w:rPr>
          <w:rFonts w:ascii="標楷體" w:eastAsia="標楷體" w:hAnsi="標楷體" w:hint="eastAsia"/>
          <w:sz w:val="28"/>
          <w:szCs w:val="28"/>
        </w:rPr>
        <w:t>對於主動性績效指標</w:t>
      </w:r>
      <w:r w:rsidR="009927BF">
        <w:rPr>
          <w:rFonts w:ascii="標楷體" w:eastAsia="標楷體" w:hAnsi="標楷體" w:hint="eastAsia"/>
          <w:sz w:val="28"/>
          <w:szCs w:val="28"/>
        </w:rPr>
        <w:t>我們可以參考ISO 45001附錄</w:t>
      </w:r>
      <w:r w:rsidR="009927BF">
        <w:rPr>
          <w:rFonts w:ascii="標楷體" w:eastAsia="標楷體" w:hAnsi="標楷體"/>
          <w:sz w:val="28"/>
          <w:szCs w:val="28"/>
        </w:rPr>
        <w:t>A6.1.1</w:t>
      </w:r>
      <w:r w:rsidR="009927BF">
        <w:rPr>
          <w:rFonts w:ascii="標楷體" w:eastAsia="標楷體" w:hAnsi="標楷體"/>
          <w:sz w:val="28"/>
          <w:szCs w:val="28"/>
        </w:rPr>
        <w:br/>
      </w:r>
      <w:r w:rsidR="009927BF" w:rsidRPr="009927BF">
        <w:rPr>
          <w:rFonts w:ascii="標楷體" w:eastAsia="標楷體" w:hAnsi="標楷體" w:hint="eastAsia"/>
          <w:sz w:val="28"/>
          <w:szCs w:val="28"/>
        </w:rPr>
        <w:t>改進職安衛</w:t>
      </w:r>
      <w:r w:rsidR="008300BA">
        <w:rPr>
          <w:rFonts w:ascii="標楷體" w:eastAsia="標楷體" w:hAnsi="標楷體" w:hint="eastAsia"/>
          <w:sz w:val="28"/>
          <w:szCs w:val="28"/>
        </w:rPr>
        <w:t>管理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績效之機會的範例：</w:t>
      </w:r>
    </w:p>
    <w:p w14:paraId="18F3DE39" w14:textId="1707771B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檢查及稽核功能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5EA0E634" w14:textId="64715949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工作危害分析(工作安全分析)及相關作業評估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5DAC4D41" w14:textId="6FC8800B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以減輕單調的工作或已知潛在有害的工作速度，改進職安衛</w:t>
      </w:r>
      <w:r w:rsidR="008300BA">
        <w:rPr>
          <w:rFonts w:ascii="標楷體" w:eastAsia="標楷體" w:hAnsi="標楷體" w:hint="eastAsia"/>
          <w:sz w:val="28"/>
          <w:szCs w:val="28"/>
        </w:rPr>
        <w:t>管理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績效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361C93D3" w14:textId="2347DC75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工作許可及其他認可與管制方法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015FDDFF" w14:textId="19636A01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事件或不符合事項之調查及矯正措施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0C5EB4EC" w14:textId="7B102768" w:rsid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與人因工程及其他傷害預防有關之評估。</w:t>
      </w:r>
    </w:p>
    <w:p w14:paraId="35C4B30C" w14:textId="77777777" w:rsidR="008727E5" w:rsidRDefault="008727E5" w:rsidP="00AE139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2E9E5CB4" w14:textId="3C8B1E2C" w:rsidR="00BE7CD9" w:rsidRDefault="009927B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927BF">
        <w:rPr>
          <w:rFonts w:ascii="標楷體" w:eastAsia="標楷體" w:hAnsi="標楷體" w:hint="eastAsia"/>
          <w:sz w:val="28"/>
          <w:szCs w:val="28"/>
        </w:rPr>
        <w:t>改進職安衛</w:t>
      </w:r>
      <w:r w:rsidR="008300BA">
        <w:rPr>
          <w:rFonts w:ascii="標楷體" w:eastAsia="標楷體" w:hAnsi="標楷體" w:hint="eastAsia"/>
          <w:sz w:val="28"/>
          <w:szCs w:val="28"/>
        </w:rPr>
        <w:t>管理</w:t>
      </w:r>
      <w:r w:rsidRPr="009927BF">
        <w:rPr>
          <w:rFonts w:ascii="標楷體" w:eastAsia="標楷體" w:hAnsi="標楷體" w:hint="eastAsia"/>
          <w:sz w:val="28"/>
          <w:szCs w:val="28"/>
        </w:rPr>
        <w:t>績效之其他機會的範例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5CA0232" w14:textId="1DAA0262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MS Gothic" w:hAnsi="MS Gothic" w:cs="MS Gothic" w:hint="eastAsia"/>
          <w:sz w:val="28"/>
          <w:szCs w:val="28"/>
        </w:rPr>
        <w:lastRenderedPageBreak/>
        <w:t>1</w:t>
      </w:r>
      <w:r>
        <w:rPr>
          <w:rFonts w:ascii="MS Gothic" w:hAnsi="MS Gothic" w:cs="MS Gothic"/>
          <w:sz w:val="28"/>
          <w:szCs w:val="28"/>
        </w:rPr>
        <w:t>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對於場所搬遷、</w:t>
      </w:r>
      <w:r w:rsidR="008300BA">
        <w:rPr>
          <w:rFonts w:ascii="標楷體" w:eastAsia="標楷體" w:hAnsi="標楷體" w:hint="eastAsia"/>
          <w:sz w:val="28"/>
          <w:szCs w:val="28"/>
        </w:rPr>
        <w:t>流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程重新設計或機械及</w:t>
      </w:r>
      <w:r w:rsidR="008300BA">
        <w:rPr>
          <w:rFonts w:ascii="標楷體" w:eastAsia="標楷體" w:hAnsi="標楷體" w:hint="eastAsia"/>
          <w:sz w:val="28"/>
          <w:szCs w:val="28"/>
        </w:rPr>
        <w:t>場所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更新，在設施、設備或製程之規劃的生命週期最初階段，就整合納入安全衛生要求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71C318AB" w14:textId="45E89635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MS Gothic" w:hAnsi="MS Gothic" w:cs="MS Gothic" w:hint="eastAsia"/>
          <w:sz w:val="28"/>
          <w:szCs w:val="28"/>
        </w:rPr>
        <w:t>2</w:t>
      </w:r>
      <w:r>
        <w:rPr>
          <w:rFonts w:ascii="MS Gothic" w:hAnsi="MS Gothic" w:cs="MS Gothic"/>
          <w:sz w:val="28"/>
          <w:szCs w:val="28"/>
        </w:rPr>
        <w:t>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在場所搬遷、製程重新設計或機械及</w:t>
      </w:r>
      <w:r w:rsidR="008300BA">
        <w:rPr>
          <w:rFonts w:ascii="標楷體" w:eastAsia="標楷體" w:hAnsi="標楷體" w:hint="eastAsia"/>
          <w:sz w:val="28"/>
          <w:szCs w:val="28"/>
        </w:rPr>
        <w:t>建築物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更新之規劃的最初階段，就整合納入安全衛生要求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64965686" w14:textId="4539CA1C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MS Gothic" w:hAnsi="MS Gothic" w:cs="MS Gothic" w:hint="eastAsia"/>
          <w:sz w:val="28"/>
          <w:szCs w:val="28"/>
        </w:rPr>
        <w:t>3</w:t>
      </w:r>
      <w:r>
        <w:rPr>
          <w:rFonts w:ascii="MS Gothic" w:hAnsi="MS Gothic" w:cs="MS Gothic"/>
          <w:sz w:val="28"/>
          <w:szCs w:val="28"/>
        </w:rPr>
        <w:t>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使用新技術改進職安衛績效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76823D00" w14:textId="760E45C4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MS Gothic" w:hAnsi="MS Gothic" w:cs="MS Gothic" w:hint="eastAsia"/>
          <w:sz w:val="28"/>
          <w:szCs w:val="28"/>
        </w:rPr>
        <w:t>4</w:t>
      </w:r>
      <w:r>
        <w:rPr>
          <w:rFonts w:ascii="MS Gothic" w:hAnsi="MS Gothic" w:cs="MS Gothic"/>
          <w:sz w:val="28"/>
          <w:szCs w:val="28"/>
        </w:rPr>
        <w:t>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改進職業安全衛生文化，如與職安衛有關的適任性超出了要求事項，或鼓勵工作者及時提報事件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7D6B1F88" w14:textId="630F4B81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MS Gothic" w:hAnsi="MS Gothic" w:cs="MS Gothic" w:hint="eastAsia"/>
          <w:sz w:val="28"/>
          <w:szCs w:val="28"/>
        </w:rPr>
        <w:t>5</w:t>
      </w:r>
      <w:r>
        <w:rPr>
          <w:rFonts w:ascii="MS Gothic" w:hAnsi="MS Gothic" w:cs="MS Gothic"/>
          <w:sz w:val="28"/>
          <w:szCs w:val="28"/>
        </w:rPr>
        <w:t>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提升最高管理階層對職安衛管理系統支持的能見度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11A5B266" w14:textId="3AB66572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MS Gothic" w:hAnsi="MS Gothic" w:cs="MS Gothic" w:hint="eastAsia"/>
          <w:sz w:val="28"/>
          <w:szCs w:val="28"/>
        </w:rPr>
        <w:t>6</w:t>
      </w:r>
      <w:r>
        <w:rPr>
          <w:rFonts w:ascii="MS Gothic" w:hAnsi="MS Gothic" w:cs="MS Gothic"/>
          <w:sz w:val="28"/>
          <w:szCs w:val="28"/>
        </w:rPr>
        <w:t>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強化事件調查過程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1CB9AEA0" w14:textId="13FE76F3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MS Gothic" w:hAnsi="MS Gothic" w:cs="MS Gothic" w:hint="eastAsia"/>
          <w:sz w:val="28"/>
          <w:szCs w:val="28"/>
        </w:rPr>
        <w:t>7</w:t>
      </w:r>
      <w:r>
        <w:rPr>
          <w:rFonts w:ascii="MS Gothic" w:hAnsi="MS Gothic" w:cs="MS Gothic"/>
          <w:sz w:val="28"/>
          <w:szCs w:val="28"/>
        </w:rPr>
        <w:t>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改進工作者諮商及參與過程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1A6CF31D" w14:textId="538A477A" w:rsidR="009927BF" w:rsidRP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MS Gothic" w:hAnsi="MS Gothic" w:cs="MS Gothic" w:hint="eastAsia"/>
          <w:sz w:val="28"/>
          <w:szCs w:val="28"/>
        </w:rPr>
        <w:t>8</w:t>
      </w:r>
      <w:r>
        <w:rPr>
          <w:rFonts w:ascii="MS Gothic" w:hAnsi="MS Gothic" w:cs="MS Gothic"/>
          <w:sz w:val="28"/>
          <w:szCs w:val="28"/>
        </w:rPr>
        <w:t>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標竿比較，包括考慮組織本身以往的績效及其他組織的績效</w:t>
      </w:r>
      <w:r w:rsidR="009927BF">
        <w:rPr>
          <w:rFonts w:ascii="標楷體" w:eastAsia="標楷體" w:hAnsi="標楷體" w:hint="eastAsia"/>
          <w:sz w:val="28"/>
          <w:szCs w:val="28"/>
        </w:rPr>
        <w:t>。</w:t>
      </w:r>
    </w:p>
    <w:p w14:paraId="4EE3BA4E" w14:textId="5B296BDA" w:rsidR="009927BF" w:rsidRDefault="00AF219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MS Gothic" w:hAnsi="MS Gothic" w:cs="MS Gothic" w:hint="eastAsia"/>
          <w:sz w:val="28"/>
          <w:szCs w:val="28"/>
        </w:rPr>
        <w:t>9</w:t>
      </w:r>
      <w:r>
        <w:rPr>
          <w:rFonts w:ascii="MS Gothic" w:hAnsi="MS Gothic" w:cs="MS Gothic"/>
          <w:sz w:val="28"/>
          <w:szCs w:val="28"/>
        </w:rPr>
        <w:t>.</w:t>
      </w:r>
      <w:r w:rsidR="009927BF" w:rsidRPr="009927BF">
        <w:rPr>
          <w:rFonts w:ascii="標楷體" w:eastAsia="標楷體" w:hAnsi="標楷體" w:hint="eastAsia"/>
          <w:sz w:val="28"/>
          <w:szCs w:val="28"/>
        </w:rPr>
        <w:t>參與並貢獻以安全衛生為主題的論壇。</w:t>
      </w:r>
    </w:p>
    <w:p w14:paraId="5BEC5A77" w14:textId="2D773247" w:rsidR="009927BF" w:rsidRPr="005F1E38" w:rsidRDefault="009927BF" w:rsidP="00AE13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F219F">
        <w:rPr>
          <w:rFonts w:ascii="標楷體" w:eastAsia="標楷體" w:hAnsi="標楷體" w:hint="eastAsia"/>
          <w:sz w:val="28"/>
          <w:szCs w:val="28"/>
        </w:rPr>
        <w:t>員工及工作者的安全及健康是企業運作的基石，在預防職業災害及不健康事件發生，</w:t>
      </w:r>
      <w:r w:rsidR="00D00B48">
        <w:rPr>
          <w:rFonts w:ascii="標楷體" w:eastAsia="標楷體" w:hAnsi="標楷體" w:hint="eastAsia"/>
          <w:sz w:val="28"/>
          <w:szCs w:val="28"/>
        </w:rPr>
        <w:t>企業可以透過系統化運作，對潛在風險危害降低作出貢獻，增進員工及工作者的健康照護，以達到永續發展的目標。</w:t>
      </w:r>
    </w:p>
    <w:sectPr w:rsidR="009927BF" w:rsidRPr="005F1E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43BD"/>
    <w:multiLevelType w:val="hybridMultilevel"/>
    <w:tmpl w:val="3F4CB6DA"/>
    <w:lvl w:ilvl="0" w:tplc="15C0D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341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D5"/>
    <w:rsid w:val="00030CB1"/>
    <w:rsid w:val="000760D1"/>
    <w:rsid w:val="00106AB9"/>
    <w:rsid w:val="0024527D"/>
    <w:rsid w:val="004E6399"/>
    <w:rsid w:val="005F1E38"/>
    <w:rsid w:val="00761418"/>
    <w:rsid w:val="007A6D06"/>
    <w:rsid w:val="008300BA"/>
    <w:rsid w:val="008727E5"/>
    <w:rsid w:val="00924FE6"/>
    <w:rsid w:val="00984FD5"/>
    <w:rsid w:val="009927BF"/>
    <w:rsid w:val="00A000A1"/>
    <w:rsid w:val="00AE139E"/>
    <w:rsid w:val="00AF219F"/>
    <w:rsid w:val="00B86259"/>
    <w:rsid w:val="00BE7CD9"/>
    <w:rsid w:val="00D00B48"/>
    <w:rsid w:val="00E73B01"/>
    <w:rsid w:val="00F517C7"/>
    <w:rsid w:val="00F52867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3F61"/>
  <w15:chartTrackingRefBased/>
  <w15:docId w15:val="{8037262F-517F-49A7-B0C9-653F5AD3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yayab 侯</dc:creator>
  <cp:keywords/>
  <dc:description/>
  <cp:lastModifiedBy>yayab 侯</cp:lastModifiedBy>
  <cp:revision>9</cp:revision>
  <dcterms:created xsi:type="dcterms:W3CDTF">2022-09-30T08:27:00Z</dcterms:created>
  <dcterms:modified xsi:type="dcterms:W3CDTF">2022-10-03T00:37:00Z</dcterms:modified>
</cp:coreProperties>
</file>